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/colors1.xml" ContentType="application/vnd.ms-office.chartcolorstyle+xml"/>
  <Override PartName="/word/charts/chart/colors2.xml" ContentType="application/vnd.ms-office.chartcolorstyle+xml"/>
  <Override PartName="/word/charts/chart/style1.xml" ContentType="application/vnd.ms-office.chartstyle+xml"/>
  <Override PartName="/word/charts/chart/style2.xml" ContentType="application/vnd.ms-office.chartsty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mbeddings/Microsoft_Excel_Worksheet1.xlsx" ContentType="application/vnd.openxmlformats-officedocument.spreadsheetml.sheet"/>
  <Override PartName="/word/embeddings/Microsoft_Excel_Worksheet2.xlsx" ContentType="application/vnd.openxmlformats-officedocument.spreadsheetml.shee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 w:rsidR="00B16F92" w:rsidP="005150BE">
      <w:pPr>
        <w:pStyle w:val="Heading1"/>
        <w:rPr>
          <w:lang w:val="en-US"/>
        </w:rPr>
      </w:pPr>
      <w:r w:rsidRPr="00B16F92">
        <w:rPr>
          <w:lang w:val="en-US"/>
        </w:rPr>
        <w:t>Måltal for søgning til erhvervsuddannelser</w:t>
      </w:r>
    </w:p>
    <w:p w:rsidR="007931D6" w:rsidRPr="007931D6" w:rsidP="007931D6">
      <w:pPr>
        <w:pStyle w:val="Heading3"/>
        <w:rPr>
          <w:lang w:val="en-US"/>
        </w:rPr>
      </w:pPr>
      <w:bookmarkStart w:id="0" w:name="_GoBack"/>
      <w:bookmarkEnd w:id="0"/>
      <w:r w:rsidRPr="007931D6">
        <w:rPr>
          <w:lang w:val="en-US"/>
        </w:rPr>
        <w:t>Åben</w:t>
      </w:r>
      <w:r>
        <w:rPr>
          <w:lang w:val="en-US"/>
        </w:rPr>
        <w:t xml:space="preserve"> </w:t>
      </w:r>
      <w:r>
        <w:rPr>
          <w:lang w:val="en-US"/>
        </w:rPr>
        <w:t>dagsordenpunkt</w:t>
      </w:r>
    </w:p>
    <w:p w:rsidR="00B16F92" w:rsidRPr="007931D6" w:rsidP="00C50E4A">
      <w:pPr>
        <w:pStyle w:val="Heading3"/>
        <w:rPr>
          <w:lang w:val="en-US"/>
        </w:rPr>
      </w:pPr>
      <w:r w:rsidRPr="007931D6">
        <w:rPr>
          <w:lang w:val="en-US"/>
        </w:rPr>
        <w:t>Sagsid</w:t>
      </w:r>
      <w:r w:rsidRPr="007931D6">
        <w:rPr>
          <w:lang w:val="en-US"/>
        </w:rPr>
        <w:t>:</w:t>
      </w:r>
      <w:r w:rsidRPr="007931D6">
        <w:rPr>
          <w:lang w:val="en-US"/>
        </w:rPr>
        <w:tab/>
      </w:r>
      <w:r w:rsidRPr="007931D6">
        <w:rPr>
          <w:lang w:val="en-US"/>
        </w:rPr>
        <w:tab/>
      </w:r>
      <w:r w:rsidRPr="007931D6">
        <w:rPr>
          <w:b w:val="0"/>
          <w:lang w:val="en-US"/>
        </w:rPr>
        <w:t>20/4058</w:t>
      </w:r>
    </w:p>
    <w:p w:rsidR="00B16F92" w:rsidRPr="007931D6" w:rsidP="00C50E4A">
      <w:pPr>
        <w:pStyle w:val="Heading3"/>
        <w:rPr>
          <w:lang w:val="en-US"/>
        </w:rPr>
      </w:pPr>
      <w:r w:rsidRPr="007931D6">
        <w:rPr>
          <w:lang w:val="en-US"/>
        </w:rPr>
        <w:t>Sagen</w:t>
      </w:r>
      <w:r w:rsidRPr="007931D6">
        <w:rPr>
          <w:lang w:val="en-US"/>
        </w:rPr>
        <w:t xml:space="preserve"> </w:t>
      </w:r>
      <w:r w:rsidRPr="007931D6">
        <w:rPr>
          <w:lang w:val="en-US"/>
        </w:rPr>
        <w:t>afgøres</w:t>
      </w:r>
      <w:r w:rsidRPr="007931D6">
        <w:rPr>
          <w:lang w:val="en-US"/>
        </w:rPr>
        <w:t xml:space="preserve"> i</w:t>
      </w:r>
      <w:r w:rsidRPr="007931D6">
        <w:rPr>
          <w:lang w:val="en-US"/>
        </w:rPr>
        <w:t xml:space="preserve">: </w:t>
      </w:r>
      <w:r w:rsidRPr="007931D6">
        <w:rPr>
          <w:lang w:val="en-US"/>
        </w:rPr>
        <w:tab/>
      </w:r>
      <w:r w:rsidRPr="007931D6">
        <w:rPr>
          <w:b w:val="0"/>
          <w:lang w:val="en-US"/>
        </w:rPr>
        <w:t>Byrådet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72"/>
        <w:gridCol w:w="730"/>
        <w:gridCol w:w="6014"/>
        <w:gridCol w:w="1280"/>
        <w:gridCol w:w="52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A77B3E">
            <w:pPr>
              <w:rPr>
                <w:rFonts w:ascii="Arial" w:eastAsia="Times New Roman" w:hAnsi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highlight w:val="none"/>
                <w:u w:val="none" w:color="auto"/>
                <w:effect w:val="none"/>
                <w:bdr w:val="nil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</w:pPr>
            <w:r>
              <w:rPr>
                <w:rFonts w:ascii="Arial" w:eastAsia="Times New Roman" w:hAnsi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1 - 2886067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A77B3E">
            <w:pPr>
              <w:rPr>
                <w:rFonts w:ascii="Arial" w:eastAsia="Times New Roman" w:hAnsi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highlight w:val="none"/>
                <w:u w:val="none" w:color="auto"/>
                <w:effect w:val="none"/>
                <w:bdr w:val="nil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</w:pPr>
            <w:r>
              <w:rPr>
                <w:rFonts w:ascii="Arial" w:eastAsia="Times New Roman" w:hAnsi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Åben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A77B3E">
            <w:pPr>
              <w:rPr>
                <w:rFonts w:ascii="Arial" w:eastAsia="Times New Roman" w:hAnsi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highlight w:val="none"/>
                <w:u w:val="none" w:color="auto"/>
                <w:effect w:val="none"/>
                <w:bdr w:val="nil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</w:pPr>
            <w:r>
              <w:rPr>
                <w:rFonts w:ascii="Arial" w:eastAsia="Times New Roman" w:hAnsi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Bilag 1 - KL - Kommunalt ansvar for ofølgning i EUD-aftalen, herunder måltal for søgning til erhvervsuddannelser.pdf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A77B3E">
            <w:pPr>
              <w:rPr>
                <w:rFonts w:ascii="Arial" w:eastAsia="Times New Roman" w:hAnsi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highlight w:val="none"/>
                <w:u w:val="none" w:color="auto"/>
                <w:effect w:val="none"/>
                <w:bdr w:val="nil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</w:pPr>
            <w:r>
              <w:rPr>
                <w:rFonts w:ascii="Arial" w:eastAsia="Times New Roman" w:hAnsi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(64920/20)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A77B3E">
            <w:pPr>
              <w:rPr>
                <w:rFonts w:ascii="Arial" w:eastAsia="Times New Roman" w:hAnsi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highlight w:val="none"/>
                <w:u w:val="none" w:color="auto"/>
                <w:effect w:val="none"/>
                <w:bdr w:val="nil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</w:pPr>
            <w:r>
              <w:rPr>
                <w:rFonts w:ascii="Arial" w:eastAsia="Times New Roman" w:hAnsi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(H)</w:t>
            </w:r>
          </w:p>
        </w:tc>
      </w:tr>
    </w:tbl>
    <w:p w:rsidR="00C50E4A" w:rsidRPr="007931D6" w:rsidP="00C50E4A">
      <w:pPr>
        <w:rPr>
          <w:lang w:val="en-US"/>
        </w:rPr>
      </w:pPr>
    </w:p>
    <w:p>
      <w:pPr>
        <w:pStyle w:val="Heading2"/>
      </w:pPr>
      <w:r>
        <w:t>Indledning</w:t>
      </w:r>
      <w:bookmarkStart w:id="1" w:name="DocPart308991"/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i w:val="0"/>
          <w:u w:val="none"/>
          <w:vertAlign w:val="baseline"/>
        </w:rPr>
      </w:pPr>
      <w:r>
        <w:rPr>
          <w:b/>
          <w:i w:val="0"/>
          <w:u w:val="none"/>
          <w:vertAlign w:val="baseline"/>
        </w:rPr>
        <w:t>Sagsgang: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2020"/>
        <w:gridCol w:w="957"/>
        <w:gridCol w:w="957"/>
        <w:gridCol w:w="957"/>
        <w:gridCol w:w="957"/>
        <w:gridCol w:w="957"/>
        <w:gridCol w:w="957"/>
        <w:gridCol w:w="958"/>
        <w:gridCol w:w="958"/>
      </w:tblGrid>
      <w:tr w:rsidTr="00BB657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950" w:type="pct"/>
            <w:tcBorders>
              <w:top w:val="outset" w:sz="8" w:space="0" w:color="111111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 xml:space="preserve">  </w:t>
            </w:r>
          </w:p>
        </w:tc>
        <w:tc>
          <w:tcPr>
            <w:tcW w:w="450" w:type="pct"/>
            <w:tcBorders>
              <w:top w:val="outset" w:sz="8" w:space="0" w:color="111111"/>
              <w:left w:val="nil"/>
              <w:bottom w:val="outset" w:sz="8" w:space="0" w:color="111111"/>
              <w:right w:val="outset" w:sz="8" w:space="0" w:color="111111"/>
            </w:tcBorders>
            <w:tcMar>
              <w:top w:w="80" w:type="dxa"/>
              <w:left w:w="15" w:type="dxa"/>
              <w:bottom w:w="20" w:type="dxa"/>
              <w:right w:w="20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BY</w:t>
            </w:r>
          </w:p>
        </w:tc>
        <w:tc>
          <w:tcPr>
            <w:tcW w:w="450" w:type="pct"/>
            <w:tcBorders>
              <w:top w:val="outset" w:sz="8" w:space="0" w:color="111111"/>
              <w:left w:val="nil"/>
              <w:bottom w:val="outset" w:sz="8" w:space="0" w:color="111111"/>
              <w:right w:val="outset" w:sz="8" w:space="0" w:color="111111"/>
            </w:tcBorders>
            <w:tcMar>
              <w:top w:w="80" w:type="dxa"/>
              <w:left w:w="15" w:type="dxa"/>
              <w:bottom w:w="20" w:type="dxa"/>
              <w:right w:w="20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ØK</w:t>
            </w:r>
          </w:p>
        </w:tc>
        <w:tc>
          <w:tcPr>
            <w:tcW w:w="450" w:type="pct"/>
            <w:tcBorders>
              <w:top w:val="outset" w:sz="8" w:space="0" w:color="111111"/>
              <w:left w:val="nil"/>
              <w:bottom w:val="outset" w:sz="8" w:space="0" w:color="111111"/>
              <w:right w:val="outset" w:sz="8" w:space="0" w:color="111111"/>
            </w:tcBorders>
            <w:tcMar>
              <w:top w:w="80" w:type="dxa"/>
              <w:left w:w="15" w:type="dxa"/>
              <w:bottom w:w="20" w:type="dxa"/>
              <w:right w:w="20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ÆGU</w:t>
            </w:r>
          </w:p>
        </w:tc>
        <w:tc>
          <w:tcPr>
            <w:tcW w:w="450" w:type="pct"/>
            <w:tcBorders>
              <w:top w:val="outset" w:sz="8" w:space="0" w:color="111111"/>
              <w:left w:val="nil"/>
              <w:bottom w:val="outset" w:sz="8" w:space="0" w:color="111111"/>
              <w:right w:val="outset" w:sz="8" w:space="0" w:color="111111"/>
            </w:tcBorders>
            <w:tcMar>
              <w:top w:w="80" w:type="dxa"/>
              <w:left w:w="15" w:type="dxa"/>
              <w:bottom w:w="20" w:type="dxa"/>
              <w:right w:w="20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PBU</w:t>
            </w:r>
          </w:p>
        </w:tc>
        <w:tc>
          <w:tcPr>
            <w:tcW w:w="450" w:type="pct"/>
            <w:tcBorders>
              <w:top w:val="outset" w:sz="8" w:space="0" w:color="111111"/>
              <w:left w:val="nil"/>
              <w:bottom w:val="outset" w:sz="8" w:space="0" w:color="111111"/>
              <w:right w:val="outset" w:sz="8" w:space="0" w:color="111111"/>
            </w:tcBorders>
            <w:tcMar>
              <w:top w:w="80" w:type="dxa"/>
              <w:left w:w="15" w:type="dxa"/>
              <w:bottom w:w="20" w:type="dxa"/>
              <w:right w:w="20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KMU</w:t>
            </w:r>
          </w:p>
        </w:tc>
        <w:tc>
          <w:tcPr>
            <w:tcW w:w="450" w:type="pct"/>
            <w:tcBorders>
              <w:top w:val="outset" w:sz="8" w:space="0" w:color="111111"/>
              <w:left w:val="nil"/>
              <w:bottom w:val="outset" w:sz="8" w:space="0" w:color="111111"/>
              <w:right w:val="outset" w:sz="8" w:space="0" w:color="111111"/>
            </w:tcBorders>
            <w:tcMar>
              <w:top w:w="80" w:type="dxa"/>
              <w:left w:w="15" w:type="dxa"/>
              <w:bottom w:w="20" w:type="dxa"/>
              <w:right w:w="20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BUU</w:t>
            </w:r>
          </w:p>
        </w:tc>
        <w:tc>
          <w:tcPr>
            <w:tcW w:w="450" w:type="pct"/>
            <w:tcBorders>
              <w:top w:val="outset" w:sz="8" w:space="0" w:color="111111"/>
              <w:left w:val="nil"/>
              <w:bottom w:val="outset" w:sz="8" w:space="0" w:color="111111"/>
              <w:right w:val="outset" w:sz="8" w:space="0" w:color="111111"/>
            </w:tcBorders>
            <w:tcMar>
              <w:top w:w="80" w:type="dxa"/>
              <w:left w:w="15" w:type="dxa"/>
              <w:bottom w:w="20" w:type="dxa"/>
              <w:right w:w="20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KFU</w:t>
            </w:r>
          </w:p>
        </w:tc>
        <w:tc>
          <w:tcPr>
            <w:tcW w:w="450" w:type="pct"/>
            <w:tcBorders>
              <w:top w:val="outset" w:sz="8" w:space="0" w:color="111111"/>
              <w:left w:val="nil"/>
              <w:bottom w:val="outset" w:sz="8" w:space="0" w:color="111111"/>
              <w:right w:val="outset" w:sz="8" w:space="0" w:color="111111"/>
            </w:tcBorders>
            <w:tcMar>
              <w:top w:w="80" w:type="dxa"/>
              <w:left w:w="15" w:type="dxa"/>
              <w:bottom w:w="20" w:type="dxa"/>
              <w:right w:w="20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SAMU</w:t>
            </w:r>
          </w:p>
        </w:tc>
      </w:tr>
      <w:tr w:rsidTr="00BB657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454"/>
        </w:trPr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Orientering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</w:tr>
      <w:tr w:rsidTr="00BB657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454"/>
        </w:trPr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Indstilling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</w:tr>
      <w:tr w:rsidTr="00BB657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454"/>
        </w:trPr>
        <w:tc>
          <w:tcPr>
            <w:tcW w:w="0" w:type="auto"/>
            <w:tcBorders>
              <w:top w:val="nil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Beslutning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BY=Byråd, ØK=Økonomiudvalg,</w:t>
      </w:r>
      <w:r>
        <w:rPr>
          <w:b w:val="0"/>
          <w:i w:val="0"/>
          <w:u w:val="none"/>
          <w:vertAlign w:val="baseline"/>
        </w:rPr>
        <w:t xml:space="preserve"> ÆGU=Ældre- og Genoptræningsudvalg, PBU=Plan- og Boligudvalg, KMU=Klima- og Miljøudvalg, BUU=Børne- og Undervisningsudvalg, KFU=Kultur- og Fritidsudvalg, SAMU=Social- og Arbejdsmarkedsudvalg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I denne sag skal der træffes beslutning om måltal for unge, der</w:t>
      </w:r>
      <w:r>
        <w:rPr>
          <w:b w:val="0"/>
          <w:i w:val="0"/>
          <w:u w:val="none"/>
          <w:vertAlign w:val="baseline"/>
        </w:rPr>
        <w:t xml:space="preserve"> søger erhvervsuddannelser for det kommende år. </w:t>
      </w:r>
    </w:p>
    <w:p>
      <w:pPr>
        <w:pStyle w:val="Heading2"/>
      </w:pPr>
      <w:bookmarkEnd w:id="1"/>
      <w:r>
        <w:t>Beskrivelse af sagen</w:t>
      </w:r>
      <w:bookmarkStart w:id="2" w:name="DocPart308992"/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I 2018 indgik regeringen og forligspartier EUD-aftalen, ”Fra folkeskole til faglært – Erhvervsuddannelser til fremtiden”, for at styrke tilgangen til erhvervsuddannelserne. Aftalen adre</w:t>
      </w:r>
      <w:r>
        <w:rPr>
          <w:b w:val="0"/>
          <w:i w:val="0"/>
          <w:u w:val="none"/>
          <w:vertAlign w:val="baseline"/>
        </w:rPr>
        <w:t>sserer behovet for flere faglærte i fremtiden. Som opfølgning på EUD-aftalen fra 2018 har KL indgået ny aftale, som indebærer, at kommunerne hvert år udarbejder måltal for søgningen til ungdomsuddannelserne og præsenterer disse på kommunens hjemmeside. Det</w:t>
      </w:r>
      <w:r>
        <w:rPr>
          <w:b w:val="0"/>
          <w:i w:val="0"/>
          <w:u w:val="none"/>
          <w:vertAlign w:val="baseline"/>
        </w:rPr>
        <w:t xml:space="preserve">te træder i kraft fra 2020 (bilag 1).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Børne- og Undervisningsudvalget skal derfor en gang årligt fastsætte måltal for søgningen til ungdomsuddannelserne for elever i 9. og 10. klasse. Måltallene skal fastsættes i tre kategorier: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Erhvervsuddannelserne, b</w:t>
      </w:r>
      <w:r>
        <w:rPr>
          <w:b w:val="0"/>
          <w:i w:val="0"/>
          <w:u w:val="none"/>
          <w:vertAlign w:val="baseline"/>
        </w:rPr>
        <w:t xml:space="preserve">åde EUD og EUX </w:t>
      </w:r>
    </w:p>
    <w:p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Gymnasiale uddannelser, både 2- og 3-årige</w:t>
      </w:r>
    </w:p>
    <w:p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Øvrige (FGU &amp; STU samt ungdomshøjskoler, udlandsophold, arbejde eller andet)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Endvidere fremgår det af lovkravet, at kommunen skal udarbejde en handlingsplan, hvis søgetallet til erhvervsuddannels</w:t>
      </w:r>
      <w:r>
        <w:rPr>
          <w:b w:val="0"/>
          <w:i w:val="0"/>
          <w:u w:val="none"/>
          <w:vertAlign w:val="baseline"/>
        </w:rPr>
        <w:t xml:space="preserve">erne er under 10 %. Handlingsplanen skal beskrive, hvilke initiativer der iværksættes for at øge søgningen til erhvervsuddannelserne. Dette vurderes dog ikke at være relevant for Ringsted Kommune, da søgningen til erhvervsuddannelserne overstiger de 10 %.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I EUD-aftalen er fokus hovedsagelig på mere praksisfaglighed i folkeskolen via samarbejde mellem kommuner og erhvervsskoler. Dette samarbejde er etableret i Ringsted Kommune.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Derudover er der i Ringsted Kommune en Ungeenheden, som blev etableret i 2012 </w:t>
      </w:r>
      <w:r>
        <w:rPr>
          <w:b w:val="0"/>
          <w:i w:val="0"/>
          <w:u w:val="none"/>
          <w:vertAlign w:val="baseline"/>
        </w:rPr>
        <w:t xml:space="preserve">og som har fokus på tværgående indsatser ift. overgange fra folkeskole til ungdomsuddannelser.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/>
          <w:u w:val="none"/>
          <w:vertAlign w:val="baseline"/>
        </w:rPr>
      </w:pPr>
      <w:r>
        <w:rPr>
          <w:b w:val="0"/>
          <w:i/>
          <w:u w:val="none"/>
          <w:vertAlign w:val="baseline"/>
        </w:rPr>
        <w:t>Hvordan er status for fordelingen i Ringsted Kommune?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Ifølge tal fra Undervisningsministeriets Databank ser fordelingen af 9. og 10. klasseelevers søgning til</w:t>
      </w:r>
      <w:r>
        <w:rPr>
          <w:b w:val="0"/>
          <w:i w:val="0"/>
          <w:u w:val="none"/>
          <w:vertAlign w:val="baseline"/>
        </w:rPr>
        <w:t xml:space="preserve"> ungdomsuddannelserne ud som vist i to nedenstående søjlediagrammer over en treårig periode: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Fig. 1: Valg af ungdomsuddannelse for 9. kl i % fordelt på gym., EUD og øvrige uddannelser.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noProof/>
          <w:lang w:eastAsia="da-DK"/>
        </w:rPr>
        <w:drawing>
          <wp:inline distT="0" distB="0" distL="0" distR="0">
            <wp:extent cx="5486400" cy="3200400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Øvrige uddannelser dækker over FGU, STU, ungdomshøjskole, udlandso</w:t>
      </w:r>
      <w:r>
        <w:rPr>
          <w:b w:val="0"/>
          <w:i w:val="0"/>
          <w:u w:val="none"/>
          <w:vertAlign w:val="baseline"/>
        </w:rPr>
        <w:t>phold, arbejde eller andet.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Fig. 2. Valg af ungdomsuddannelse for 10. kl. i % fordelt på gym., EUD samt FGU, STU &amp; Øvrige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noProof/>
          <w:lang w:eastAsia="da-DK"/>
        </w:rPr>
        <w:drawing>
          <wp:inline distT="0" distB="0" distL="0" distR="0">
            <wp:extent cx="5486400" cy="32004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Kilde: www.uddannelsesstatestik.dk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Af ovenstående søjlediagram ses for begge årgange samlet set over de sidste tre år et fal</w:t>
      </w:r>
      <w:r>
        <w:rPr>
          <w:b w:val="0"/>
          <w:i w:val="0"/>
          <w:u w:val="none"/>
          <w:vertAlign w:val="baseline"/>
        </w:rPr>
        <w:t xml:space="preserve">d i søgningen til de gymnasiale ungdomsuddannelser på over 24,1 %. Samtidig ses en stigning for unge 9. klasser, der søger en erhvervsuddannelse over samme periode med 6,7 %.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Af ovenstående søjlediagram ses desuden, at en relativt stor procentdel af de </w:t>
      </w:r>
      <w:r>
        <w:rPr>
          <w:b w:val="0"/>
          <w:i w:val="0"/>
          <w:u w:val="none"/>
          <w:vertAlign w:val="baseline"/>
        </w:rPr>
        <w:t xml:space="preserve">unge har søgt erhvervsuddannelser i Ringsted Kommune i 2020. På landsplan har 16,8 % af 9. klasserne søgt erhvervsuddannelser mod Ringsted Kommunes 24,8 %. Til sammenligning søgte 23,1 % af 10. klasses elever på landsplan i 2020 ind på erhvervsuddannelser </w:t>
      </w:r>
      <w:r>
        <w:rPr>
          <w:b w:val="0"/>
          <w:i w:val="0"/>
          <w:u w:val="none"/>
          <w:vertAlign w:val="baseline"/>
        </w:rPr>
        <w:t xml:space="preserve">mod 35,1 % i Ringsted Kommune.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/>
          <w:u w:val="none"/>
          <w:vertAlign w:val="baseline"/>
        </w:rPr>
      </w:pPr>
      <w:r>
        <w:rPr>
          <w:b w:val="0"/>
          <w:i/>
          <w:u w:val="none"/>
          <w:vertAlign w:val="baseline"/>
        </w:rPr>
        <w:t>Søgningen til ungdomsuddannelserne i 2020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De aktuelle samlede tal for ansøgninger til ungdomsuddannelserne, som er indgivet 1. marts 2020 ser derfor ud som følger: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 Fig. 2: Ringsted Kommune. Samlet søgning til ungdomsuddan</w:t>
      </w:r>
      <w:r>
        <w:rPr>
          <w:b w:val="0"/>
          <w:i w:val="0"/>
          <w:u w:val="none"/>
          <w:vertAlign w:val="baseline"/>
        </w:rPr>
        <w:t>nelser 1. marts 2020 (9. &amp; 10.)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407"/>
        <w:gridCol w:w="2407"/>
        <w:gridCol w:w="2407"/>
        <w:gridCol w:w="2407"/>
      </w:tblGrid>
      <w:tr w:rsidTr="00F513AF">
        <w:tblPrEx>
          <w:tblW w:w="0" w:type="auto"/>
          <w:tblLook w:val="04A0"/>
        </w:tblPrEx>
        <w:tc>
          <w:tcPr>
            <w:tcW w:w="2407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EUD</w:t>
            </w:r>
          </w:p>
        </w:tc>
        <w:tc>
          <w:tcPr>
            <w:tcW w:w="2407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Gymnasiale udd.</w:t>
            </w:r>
          </w:p>
        </w:tc>
        <w:tc>
          <w:tcPr>
            <w:tcW w:w="2407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 xml:space="preserve">FGU &amp; STU </w:t>
            </w:r>
          </w:p>
        </w:tc>
        <w:tc>
          <w:tcPr>
            <w:tcW w:w="2407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 xml:space="preserve">Øvrige </w:t>
            </w:r>
          </w:p>
        </w:tc>
      </w:tr>
      <w:tr w:rsidTr="00F513AF">
        <w:tblPrEx>
          <w:tblW w:w="0" w:type="auto"/>
          <w:tblLook w:val="04A0"/>
        </w:tblPrEx>
        <w:tc>
          <w:tcPr>
            <w:tcW w:w="2407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30,5 %</w:t>
            </w:r>
          </w:p>
        </w:tc>
        <w:tc>
          <w:tcPr>
            <w:tcW w:w="2407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53,3 %</w:t>
            </w:r>
          </w:p>
        </w:tc>
        <w:tc>
          <w:tcPr>
            <w:tcW w:w="2407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3,6 %</w:t>
            </w:r>
          </w:p>
        </w:tc>
        <w:tc>
          <w:tcPr>
            <w:tcW w:w="2407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i w:val="0"/>
                <w:u w:val="none"/>
                <w:vertAlign w:val="baseline"/>
              </w:rPr>
            </w:pPr>
            <w:r>
              <w:rPr>
                <w:b w:val="0"/>
                <w:i w:val="0"/>
                <w:u w:val="none"/>
                <w:vertAlign w:val="baseline"/>
              </w:rPr>
              <w:t>12,6 %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Kilde: Uddannelsesstatistik.dk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Sammenlignet med 2019-tal er der sket følgende ændringer: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9. klasse: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Gymn.udd.: </w:t>
      </w:r>
      <w:r>
        <w:rPr>
          <w:b w:val="0"/>
          <w:i w:val="0"/>
          <w:u w:val="none"/>
          <w:vertAlign w:val="baseline"/>
        </w:rPr>
        <w:tab/>
        <w:t xml:space="preserve">62,2 % i 2029 – 61 % i 2020 – et fald </w:t>
      </w:r>
      <w:r>
        <w:rPr>
          <w:b w:val="0"/>
          <w:i w:val="0"/>
          <w:u w:val="none"/>
          <w:vertAlign w:val="baseline"/>
        </w:rPr>
        <w:t>på 1,2 %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EUD: </w:t>
      </w:r>
      <w:r>
        <w:rPr>
          <w:b w:val="0"/>
          <w:i w:val="0"/>
          <w:u w:val="none"/>
          <w:vertAlign w:val="baseline"/>
        </w:rPr>
        <w:tab/>
        <w:t>18,1 % i 2019 – 24,4 % i 2020 – en stigning på 6,3 %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Øvrige:</w:t>
      </w:r>
      <w:r>
        <w:rPr>
          <w:b w:val="0"/>
          <w:i w:val="0"/>
          <w:u w:val="none"/>
          <w:vertAlign w:val="baseline"/>
        </w:rPr>
        <w:tab/>
        <w:t>17,2 % i 2019 – 14,2 % i 2020 – et fald på 3 %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10. klasse: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Gymn.udd.:</w:t>
      </w:r>
      <w:r>
        <w:rPr>
          <w:b w:val="0"/>
          <w:i w:val="0"/>
          <w:u w:val="none"/>
          <w:vertAlign w:val="baseline"/>
        </w:rPr>
        <w:tab/>
        <w:t>46,8 % i 2019 – 46,3 % i 2020 – et fald på 0,3 %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EUD:</w:t>
      </w:r>
      <w:r>
        <w:rPr>
          <w:b w:val="0"/>
          <w:i w:val="0"/>
          <w:u w:val="none"/>
          <w:vertAlign w:val="baseline"/>
        </w:rPr>
        <w:tab/>
        <w:t>37,2 % i 2019 – 35,1 % i 2020 – et fald på 2,1 %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FGU &amp; </w:t>
      </w:r>
      <w:r>
        <w:rPr>
          <w:b w:val="0"/>
          <w:i w:val="0"/>
          <w:u w:val="none"/>
          <w:vertAlign w:val="baseline"/>
        </w:rPr>
        <w:t>STU: 8,9 % i 2019 – 6,2 % i 2020 – et fald på 3,7 %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Øvrige:</w:t>
      </w:r>
      <w:r>
        <w:rPr>
          <w:b w:val="0"/>
          <w:i w:val="0"/>
          <w:u w:val="none"/>
          <w:vertAlign w:val="baseline"/>
        </w:rPr>
        <w:tab/>
        <w:t>6,3 % i 2019 – 11, 2 % i 2020 – en stigning på 4,9 %</w:t>
      </w:r>
    </w:p>
    <w:p>
      <w:pPr>
        <w:pStyle w:val="Heading2"/>
      </w:pPr>
      <w:bookmarkEnd w:id="2"/>
      <w:r>
        <w:t>Inddragelse og høring</w:t>
      </w:r>
      <w:bookmarkStart w:id="3" w:name="DocPart308993"/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Ingen</w:t>
      </w:r>
    </w:p>
    <w:p>
      <w:pPr>
        <w:pStyle w:val="Heading2"/>
      </w:pPr>
      <w:bookmarkEnd w:id="3"/>
      <w:r>
        <w:t>Økonomi</w:t>
      </w:r>
      <w:bookmarkStart w:id="4" w:name="DocPart308994"/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Der er med Økonomiaftalen for 2020 ikke afsat yderligere midler til implementering af lovgivningen, dvs. </w:t>
      </w:r>
      <w:r>
        <w:rPr>
          <w:b w:val="0"/>
          <w:i w:val="0"/>
          <w:u w:val="none"/>
          <w:vertAlign w:val="baseline"/>
        </w:rPr>
        <w:t>at opgaven skal løftes inden for gældende ramme.</w:t>
      </w:r>
    </w:p>
    <w:p>
      <w:pPr>
        <w:pStyle w:val="Heading2"/>
      </w:pPr>
      <w:bookmarkEnd w:id="4"/>
      <w:r>
        <w:t>Vurdering</w:t>
      </w:r>
      <w:bookmarkStart w:id="5" w:name="DocPart308995"/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Direktionen vurderer, at den individuelle vejledning til alle elever (også de uddannelsesparate) samt styrkelse af den kollektive vejledning af forældre og af lærerne vil føre til at flere elever </w:t>
      </w:r>
      <w:r>
        <w:rPr>
          <w:b w:val="0"/>
          <w:i w:val="0"/>
          <w:u w:val="none"/>
          <w:vertAlign w:val="baseline"/>
        </w:rPr>
        <w:t xml:space="preserve">vil vælge en erhvervsuddannelse i stedet for en gymnasial uddannelse eller øvrige tilbud.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På baggrund af UU Ringsteds samlede vurdering foreslås derfor følgende måltal vedtaget for det kommende år: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Måltal, elever efter 9. klasse:</w:t>
      </w:r>
    </w:p>
    <w:p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 xml:space="preserve">En reduktion ift. ansøgninger til gymnasiale uddannelser på 2 % </w:t>
      </w:r>
    </w:p>
    <w:p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En stigning ift. ansøgninger til erhvervsuddannelserne på 4 %</w:t>
      </w:r>
    </w:p>
    <w:p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En reduktion ift. unge der vælger øvrige tilbud på 2 %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Elever efter 10. klasse</w:t>
      </w:r>
    </w:p>
    <w:p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Status quo ift. ansøgninger til gymnasiale uddann</w:t>
      </w:r>
      <w:r>
        <w:rPr>
          <w:b w:val="0"/>
          <w:i w:val="0"/>
          <w:u w:val="none"/>
          <w:vertAlign w:val="baseline"/>
        </w:rPr>
        <w:t>elser</w:t>
      </w:r>
    </w:p>
    <w:p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En stigning af ansøgninger til erhvervsuddannelserne på 3 %</w:t>
      </w:r>
    </w:p>
    <w:p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En reduktion ift. unge, der vælger øvrige tilbud på 3 %</w:t>
      </w:r>
    </w:p>
    <w:p>
      <w:pPr>
        <w:pStyle w:val="Heading2"/>
      </w:pPr>
      <w:bookmarkEnd w:id="5"/>
      <w:r>
        <w:t>Indstilling</w:t>
      </w:r>
      <w:bookmarkStart w:id="6" w:name="DocPart308996"/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/>
          <w:i w:val="0"/>
          <w:u w:val="none"/>
          <w:vertAlign w:val="baseline"/>
        </w:rPr>
        <w:t>Direktionen indstiller,</w:t>
      </w:r>
      <w:r>
        <w:rPr>
          <w:b w:val="0"/>
          <w:i w:val="0"/>
          <w:u w:val="none"/>
          <w:vertAlign w:val="baseline"/>
        </w:rPr>
        <w:t xml:space="preserve"> at ovenstående måltal fastsættes for det kommende år, og at disse præsenteres på Ringsted Kommune</w:t>
      </w:r>
      <w:r>
        <w:rPr>
          <w:b w:val="0"/>
          <w:i w:val="0"/>
          <w:u w:val="none"/>
          <w:vertAlign w:val="baseline"/>
        </w:rPr>
        <w:t>s hjemmeside.</w:t>
      </w:r>
    </w:p>
    <w:p>
      <w:pPr>
        <w:pStyle w:val="Heading2"/>
      </w:pPr>
      <w:bookmarkEnd w:id="6"/>
      <w:r>
        <w:t>Beslutning i Børne- og Undervisningsudvalget den 20-04-2020</w:t>
      </w:r>
      <w:bookmarkStart w:id="7" w:name="DocPart312488"/>
    </w:p>
    <w:p w14:paraId="4A0F56CD" w14:textId="1C6B4012">
      <w:pPr>
        <w:pBdr>
          <w:top w:val="nil"/>
          <w:left w:val="nil"/>
          <w:bottom w:val="nil"/>
          <w:right w:val="nil"/>
          <w:between w:val="nil"/>
          <w:bar w:val="nil"/>
        </w:pBdr>
        <w:rPr>
          <w:b w:val="0"/>
          <w:i w:val="0"/>
          <w:u w:val="none"/>
          <w:vertAlign w:val="baseline"/>
        </w:rPr>
      </w:pPr>
      <w:r>
        <w:rPr>
          <w:b w:val="0"/>
          <w:i w:val="0"/>
          <w:u w:val="none"/>
          <w:vertAlign w:val="baseline"/>
        </w:rPr>
        <w:t>Sagen udsættes, der ønskes en præcisering af tallene i sagsfremstillingen.</w:t>
      </w:r>
    </w:p>
    <w:p>
      <w:bookmarkEnd w:id="7"/>
    </w:p>
    <w:p w:rsidR="00C50E4A" w:rsidRPr="00C50E4A" w:rsidP="00C50E4A">
      <w:pPr>
        <w:pStyle w:val="TOAHeading"/>
        <w:jc w:val="left"/>
        <w:rPr>
          <w:rStyle w:val="IntenseReference"/>
          <w:b w:val="0"/>
          <w:bCs w:val="0"/>
          <w:smallCaps w:val="0"/>
          <w:color w:val="auto"/>
          <w:spacing w:val="0"/>
        </w:rPr>
      </w:pPr>
    </w:p>
    <w:sectPr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A2B" w:rsidP="00626699">
    <w:pPr>
      <w:pStyle w:val="Header"/>
      <w:jc w:val="center"/>
    </w:pPr>
    <w:r w:rsidRPr="00626699">
      <w:t>Børne- og Undervisningsudvalget</w:t>
    </w:r>
    <w:r w:rsidRPr="00626699">
      <w:t xml:space="preserve"> </w:t>
    </w:r>
  </w:p>
  <w:p w:rsidR="008653BD" w:rsidRPr="00626699" w:rsidP="00626699">
    <w:pPr>
      <w:pStyle w:val="Header"/>
      <w:jc w:val="center"/>
    </w:pPr>
    <w:r w:rsidRPr="00626699">
      <w:t>20-04-2020 17:30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20162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F9E8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9ECC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0E7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52C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E08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F809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F65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8A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B69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D84424"/>
    <w:multiLevelType w:val="hybridMultilevel"/>
    <w:tmpl w:val="C53AF43A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1">
    <w:nsid w:val="5D597729"/>
    <w:multiLevelType w:val="hybridMultilevel"/>
    <w:tmpl w:val="BCBADDF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54"/>
    <w:rsid w:val="000416C5"/>
    <w:rsid w:val="001A65DE"/>
    <w:rsid w:val="00243B78"/>
    <w:rsid w:val="002F3C09"/>
    <w:rsid w:val="00352854"/>
    <w:rsid w:val="003B5A2B"/>
    <w:rsid w:val="005150BE"/>
    <w:rsid w:val="00622A6E"/>
    <w:rsid w:val="00626699"/>
    <w:rsid w:val="007931D6"/>
    <w:rsid w:val="00857BEF"/>
    <w:rsid w:val="008653BD"/>
    <w:rsid w:val="0096508D"/>
    <w:rsid w:val="00A22668"/>
    <w:rsid w:val="00A77B3E"/>
    <w:rsid w:val="00AD58C3"/>
    <w:rsid w:val="00B16F92"/>
    <w:rsid w:val="00B91F22"/>
    <w:rsid w:val="00C50E4A"/>
    <w:rsid w:val="00E921EF"/>
    <w:rsid w:val="00FA761C"/>
  </w:rsids>
  <m:mathPr>
    <m:mathFont m:val="Cambria Math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qFormat="1"/>
    <w:lsdException w:name="toa heading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2B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Overskrift1Tegn"/>
    <w:uiPriority w:val="9"/>
    <w:rsid w:val="003B5A2B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Overskrift2Tegn"/>
    <w:uiPriority w:val="9"/>
    <w:unhideWhenUsed/>
    <w:rsid w:val="003B5A2B"/>
    <w:pPr>
      <w:keepNext/>
      <w:keepLines/>
      <w:spacing w:before="120" w:after="6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Overskrift3Tegn"/>
    <w:uiPriority w:val="9"/>
    <w:unhideWhenUsed/>
    <w:rsid w:val="00C50E4A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Overskrift4Tegn"/>
    <w:uiPriority w:val="9"/>
    <w:unhideWhenUsed/>
    <w:rsid w:val="002F3C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ehovedTegn"/>
    <w:uiPriority w:val="99"/>
    <w:unhideWhenUsed/>
    <w:rsid w:val="008653B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DefaultParagraphFont"/>
    <w:link w:val="Header"/>
    <w:uiPriority w:val="99"/>
    <w:rsid w:val="008653BD"/>
  </w:style>
  <w:style w:type="paragraph" w:styleId="Footer">
    <w:name w:val="footer"/>
    <w:basedOn w:val="Normal"/>
    <w:link w:val="SidefodTegn"/>
    <w:uiPriority w:val="99"/>
    <w:unhideWhenUsed/>
    <w:rsid w:val="008653B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DefaultParagraphFont"/>
    <w:link w:val="Footer"/>
    <w:uiPriority w:val="99"/>
    <w:rsid w:val="008653BD"/>
  </w:style>
  <w:style w:type="character" w:customStyle="1" w:styleId="Overskrift1Tegn">
    <w:name w:val="Overskrift 1 Tegn"/>
    <w:basedOn w:val="DefaultParagraphFont"/>
    <w:link w:val="Heading1"/>
    <w:uiPriority w:val="9"/>
    <w:rsid w:val="003B5A2B"/>
    <w:rPr>
      <w:rFonts w:ascii="Arial" w:hAnsi="Arial" w:eastAsiaTheme="majorEastAsia" w:cstheme="majorBidi"/>
      <w:b/>
      <w:sz w:val="28"/>
      <w:szCs w:val="32"/>
    </w:rPr>
  </w:style>
  <w:style w:type="character" w:customStyle="1" w:styleId="Overskrift2Tegn">
    <w:name w:val="Overskrift 2 Tegn"/>
    <w:basedOn w:val="DefaultParagraphFont"/>
    <w:link w:val="Heading2"/>
    <w:uiPriority w:val="9"/>
    <w:rsid w:val="003B5A2B"/>
    <w:rPr>
      <w:rFonts w:ascii="Arial" w:hAnsi="Arial" w:eastAsiaTheme="majorEastAsia" w:cstheme="majorBidi"/>
      <w:b/>
      <w:szCs w:val="26"/>
    </w:rPr>
  </w:style>
  <w:style w:type="character" w:customStyle="1" w:styleId="Overskrift3Tegn">
    <w:name w:val="Overskrift 3 Tegn"/>
    <w:basedOn w:val="DefaultParagraphFont"/>
    <w:link w:val="Heading3"/>
    <w:uiPriority w:val="9"/>
    <w:rsid w:val="00C50E4A"/>
    <w:rPr>
      <w:rFonts w:ascii="Arial" w:hAnsi="Arial" w:eastAsiaTheme="majorEastAsia" w:cstheme="majorBidi"/>
      <w:b/>
      <w:szCs w:val="24"/>
    </w:rPr>
  </w:style>
  <w:style w:type="paragraph" w:styleId="NoSpacing">
    <w:name w:val="No Spacing"/>
    <w:uiPriority w:val="1"/>
    <w:rsid w:val="002F3C09"/>
    <w:pPr>
      <w:spacing w:after="0" w:line="240" w:lineRule="auto"/>
    </w:pPr>
    <w:rPr>
      <w:rFonts w:ascii="Verdana" w:hAnsi="Verdana"/>
      <w:sz w:val="20"/>
    </w:rPr>
  </w:style>
  <w:style w:type="character" w:customStyle="1" w:styleId="Overskrift4Tegn">
    <w:name w:val="Overskrift 4 Tegn"/>
    <w:basedOn w:val="DefaultParagraphFont"/>
    <w:link w:val="Heading4"/>
    <w:uiPriority w:val="9"/>
    <w:rsid w:val="002F3C09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Title">
    <w:name w:val="Title"/>
    <w:basedOn w:val="Normal"/>
    <w:next w:val="Normal"/>
    <w:link w:val="TitelTegn"/>
    <w:uiPriority w:val="10"/>
    <w:rsid w:val="002F3C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DefaultParagraphFont"/>
    <w:link w:val="Title"/>
    <w:uiPriority w:val="10"/>
    <w:rsid w:val="002F3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elTegn"/>
    <w:uiPriority w:val="11"/>
    <w:rsid w:val="002F3C0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DefaultParagraphFont"/>
    <w:link w:val="Subtitle"/>
    <w:uiPriority w:val="11"/>
    <w:rsid w:val="002F3C0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2F3C0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2F3C09"/>
    <w:rPr>
      <w:i/>
      <w:iCs/>
    </w:rPr>
  </w:style>
  <w:style w:type="character" w:styleId="IntenseEmphasis">
    <w:name w:val="Intense Emphasis"/>
    <w:basedOn w:val="DefaultParagraphFont"/>
    <w:uiPriority w:val="21"/>
    <w:rsid w:val="002F3C09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rsid w:val="002F3C09"/>
    <w:rPr>
      <w:b/>
      <w:bCs/>
    </w:rPr>
  </w:style>
  <w:style w:type="paragraph" w:styleId="Quote">
    <w:name w:val="Quote"/>
    <w:basedOn w:val="Normal"/>
    <w:next w:val="Normal"/>
    <w:link w:val="CitatTegn"/>
    <w:uiPriority w:val="29"/>
    <w:rsid w:val="002F3C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DefaultParagraphFont"/>
    <w:link w:val="Quote"/>
    <w:uiPriority w:val="29"/>
    <w:rsid w:val="002F3C09"/>
    <w:rPr>
      <w:rFonts w:ascii="Verdana" w:hAnsi="Verdana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StrktcitatTegn"/>
    <w:uiPriority w:val="30"/>
    <w:rsid w:val="002F3C0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DefaultParagraphFont"/>
    <w:link w:val="IntenseQuote"/>
    <w:uiPriority w:val="30"/>
    <w:rsid w:val="002F3C09"/>
    <w:rPr>
      <w:rFonts w:ascii="Verdana" w:hAnsi="Verdana"/>
      <w:i/>
      <w:iCs/>
      <w:color w:val="5B9BD5" w:themeColor="accent1"/>
      <w:sz w:val="20"/>
    </w:rPr>
  </w:style>
  <w:style w:type="character" w:styleId="SubtleReference">
    <w:name w:val="Subtle Reference"/>
    <w:basedOn w:val="DefaultParagraphFont"/>
    <w:uiPriority w:val="31"/>
    <w:rsid w:val="002F3C0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2F3C09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rsid w:val="002F3C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5A2B"/>
    <w:rPr>
      <w:rFonts w:cs="Times New Roman"/>
      <w:szCs w:val="24"/>
    </w:rPr>
  </w:style>
  <w:style w:type="paragraph" w:styleId="TableofAuthorities">
    <w:name w:val="table of authorities"/>
    <w:aliases w:val="Centreret"/>
    <w:basedOn w:val="Normal"/>
    <w:next w:val="Normal"/>
    <w:uiPriority w:val="99"/>
    <w:unhideWhenUsed/>
    <w:qFormat/>
    <w:rsid w:val="00C50E4A"/>
    <w:pPr>
      <w:jc w:val="center"/>
    </w:pPr>
    <w:rPr>
      <w:lang w:val="en-US"/>
    </w:rPr>
  </w:style>
  <w:style w:type="paragraph" w:styleId="TOAHeading">
    <w:name w:val="toa heading"/>
    <w:aliases w:val="højrejustering"/>
    <w:basedOn w:val="Normal"/>
    <w:next w:val="Normal"/>
    <w:uiPriority w:val="99"/>
    <w:unhideWhenUsed/>
    <w:qFormat/>
    <w:rsid w:val="00C50E4A"/>
    <w:pPr>
      <w:jc w:val="right"/>
    </w:pPr>
    <w:rPr>
      <w:lang w:val="en-US"/>
    </w:rPr>
  </w:style>
  <w:style w:type="table" w:styleId="TableGrid">
    <w:name w:val="Table Grid"/>
    <w:basedOn w:val="TableNormal"/>
    <w:uiPriority w:val="39"/>
    <w:rsid w:val="0023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chart" Target="charts/chart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Relationship Id="rId2" Type="http://schemas.openxmlformats.org/officeDocument/2006/relationships/themeOverride" Target="../theme/themeOverride1.xml" /><Relationship Id="rId3" Type="http://schemas.microsoft.com/office/2011/relationships/chartColorStyle" Target="chart/colors1.xml" /><Relationship Id="rId4" Type="http://schemas.microsoft.com/office/2011/relationships/chartStyle" Target="chart/style1.xml" /></Relationships>
</file>

<file path=word/charts/_rels/chart2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Relationship Id="rId2" Type="http://schemas.openxmlformats.org/officeDocument/2006/relationships/themeOverride" Target="../theme/themeOverride2.xml" /><Relationship Id="rId3" Type="http://schemas.microsoft.com/office/2011/relationships/chartColorStyle" Target="chart/colors2.xml" /><Relationship Id="rId4" Type="http://schemas.microsoft.com/office/2011/relationships/chartStyle" Target="chart/style2.xml" /></Relationships>
</file>

<file path=word/charts/chart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hart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hart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gradFill rotWithShape="0">
          <a:gsLst>
            <a:gs pos="0">
              <a:schemeClr val="lt1">
                <a:lumMod val="75000"/>
                <a:alpha val="36000"/>
              </a:schemeClr>
            </a:gs>
            <a:gs pos="100000">
              <a:schemeClr val="dk1">
                <a:lumMod val="95000"/>
                <a:lumOff val="5000"/>
                <a:alpha val="42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 rotWithShape="0">
          <a:gsLst>
            <a:gs pos="0">
              <a:schemeClr val="lt1">
                <a:lumMod val="75000"/>
                <a:alpha val="36000"/>
              </a:schemeClr>
            </a:gs>
            <a:gs pos="100000">
              <a:schemeClr val="dk1">
                <a:lumMod val="95000"/>
                <a:lumOff val="5000"/>
                <a:alpha val="42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chart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gradFill rotWithShape="0">
          <a:gsLst>
            <a:gs pos="0">
              <a:schemeClr val="lt1">
                <a:lumMod val="75000"/>
                <a:alpha val="36000"/>
              </a:schemeClr>
            </a:gs>
            <a:gs pos="100000">
              <a:schemeClr val="dk1">
                <a:lumMod val="95000"/>
                <a:lumOff val="5000"/>
                <a:alpha val="42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 rotWithShape="0">
          <a:gsLst>
            <a:gs pos="0">
              <a:schemeClr val="lt1">
                <a:lumMod val="75000"/>
                <a:alpha val="36000"/>
              </a:schemeClr>
            </a:gs>
            <a:gs pos="100000">
              <a:schemeClr val="dk1">
                <a:lumMod val="95000"/>
                <a:lumOff val="5000"/>
                <a:alpha val="42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'Ark1'!$B$1</c:f>
              <c:strCache>
                <c:ptCount val="1"/>
                <c:pt idx="0">
                  <c:v>Gym.</c:v>
                </c:pt>
              </c:strCache>
            </c:strRef>
          </c:tx>
          <c:spPr>
            <a:solidFill>
              <a:schemeClr val="accent5">
                <a:shade val="65000"/>
                <a:alpha val="85000"/>
              </a:schemeClr>
            </a:solidFill>
            <a:ln w="9525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'Ark1'!$A$2:$A$4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'Ark1'!$B$2:$B$4</c:f>
              <c:numCache>
                <c:formatCode>General</c:formatCode>
                <c:ptCount val="3"/>
                <c:pt idx="0">
                  <c:v>69.5</c:v>
                </c:pt>
                <c:pt idx="1">
                  <c:v>64.2</c:v>
                </c:pt>
                <c:pt idx="2">
                  <c:v>61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0-18D5-4FFA-A77B-C726764D1B40}"/>
            </c:ext>
          </c:extLst>
        </c:ser>
        <c:ser>
          <c:idx val="1"/>
          <c:order val="1"/>
          <c:tx>
            <c:strRef>
              <c:f>'Ark1'!$C$1</c:f>
              <c:strCache>
                <c:ptCount val="1"/>
                <c:pt idx="0">
                  <c:v>EUD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'Ark1'!$A$2:$A$4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'Ark1'!$C$2:$C$4</c:f>
              <c:numCache>
                <c:formatCode>General</c:formatCode>
                <c:ptCount val="3"/>
                <c:pt idx="0">
                  <c:v>18.1</c:v>
                </c:pt>
                <c:pt idx="1">
                  <c:v>18.1</c:v>
                </c:pt>
                <c:pt idx="2">
                  <c:v>24.4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1-18D5-4FFA-A77B-C726764D1B40}"/>
            </c:ext>
          </c:extLst>
        </c:ser>
        <c:ser>
          <c:idx val="2"/>
          <c:order val="2"/>
          <c:tx>
            <c:strRef>
              <c:f>'Ark1'!$D$1</c:f>
              <c:strCache>
                <c:ptCount val="1"/>
                <c:pt idx="0">
                  <c:v>Øvrige</c:v>
                </c:pt>
              </c:strCache>
            </c:strRef>
          </c:tx>
          <c:spPr>
            <a:solidFill>
              <a:schemeClr val="accent5">
                <a:tint val="65000"/>
                <a:alpha val="85000"/>
              </a:schemeClr>
            </a:solidFill>
            <a:ln w="9525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'Ark1'!$A$2:$A$4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'Ark1'!$D$2:$D$4</c:f>
              <c:numCache>
                <c:formatCode>General</c:formatCode>
                <c:ptCount val="3"/>
                <c:pt idx="0">
                  <c:v>12.3</c:v>
                </c:pt>
                <c:pt idx="1">
                  <c:v>17.2</c:v>
                </c:pt>
                <c:pt idx="2">
                  <c:v>14.2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2-18D5-4FFA-A77B-C726764D1B4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10909536"/>
        <c:axId val="810909208"/>
      </c:barChart>
      <c:catAx>
        <c:axId val="81090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10909208"/>
        <c:crosses val="autoZero"/>
        <c:auto val="1"/>
        <c:lblAlgn val="ctr"/>
        <c:lblOffset val="100"/>
        <c:noMultiLvlLbl val="0"/>
      </c:catAx>
      <c:valAx>
        <c:axId val="810909208"/>
        <c:scaling>
          <c:orientation val="minMax"/>
        </c:scaling>
        <c:delete val="1"/>
        <c:axPos val="l"/>
        <c:majorGridlines>
          <c:spPr>
            <a:ln w="9525">
              <a:gradFill rotWithShape="0"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81090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gradFill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'Ark1'!$B$1</c:f>
              <c:strCache>
                <c:ptCount val="1"/>
                <c:pt idx="0">
                  <c:v>Gym.</c:v>
                </c:pt>
              </c:strCache>
            </c:strRef>
          </c:tx>
          <c:spPr>
            <a:solidFill>
              <a:schemeClr val="accent5">
                <a:shade val="58000"/>
                <a:alpha val="85000"/>
              </a:schemeClr>
            </a:solidFill>
            <a:ln w="9525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'Ark1'!$A$2:$A$4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'Ark1'!$B$2:$B$4</c:f>
              <c:numCache>
                <c:formatCode>General</c:formatCode>
                <c:ptCount val="3"/>
                <c:pt idx="0">
                  <c:v>50.7</c:v>
                </c:pt>
                <c:pt idx="1">
                  <c:v>46.8</c:v>
                </c:pt>
                <c:pt idx="2">
                  <c:v>46.3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0-0C53-4B43-A7DC-8A7632D89B08}"/>
            </c:ext>
          </c:extLst>
        </c:ser>
        <c:ser>
          <c:idx val="1"/>
          <c:order val="1"/>
          <c:tx>
            <c:strRef>
              <c:f>'Ark1'!$C$1</c:f>
              <c:strCache>
                <c:ptCount val="1"/>
                <c:pt idx="0">
                  <c:v>EUD</c:v>
                </c:pt>
              </c:strCache>
            </c:strRef>
          </c:tx>
          <c:spPr>
            <a:solidFill>
              <a:schemeClr val="accent5">
                <a:shade val="86000"/>
                <a:alpha val="85000"/>
              </a:schemeClr>
            </a:solidFill>
            <a:ln w="9525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'Ark1'!$A$2:$A$4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'Ark1'!$C$2:$C$4</c:f>
              <c:numCache>
                <c:formatCode>General</c:formatCode>
                <c:ptCount val="3"/>
                <c:pt idx="0">
                  <c:v>37.6</c:v>
                </c:pt>
                <c:pt idx="1">
                  <c:v>37.2</c:v>
                </c:pt>
                <c:pt idx="2">
                  <c:v>35.1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1-0C53-4B43-A7DC-8A7632D89B08}"/>
            </c:ext>
          </c:extLst>
        </c:ser>
        <c:ser>
          <c:idx val="2"/>
          <c:order val="2"/>
          <c:tx>
            <c:strRef>
              <c:f>'Ark1'!$D$1</c:f>
              <c:strCache>
                <c:ptCount val="1"/>
                <c:pt idx="0">
                  <c:v>FGU &amp; STU</c:v>
                </c:pt>
              </c:strCache>
            </c:strRef>
          </c:tx>
          <c:spPr>
            <a:solidFill>
              <a:schemeClr val="accent5">
                <a:tint val="86000"/>
                <a:alpha val="85000"/>
              </a:schemeClr>
            </a:solidFill>
            <a:ln w="9525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'Ark1'!$A$2:$A$4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'Ark1'!$D$2:$D$4</c:f>
              <c:numCache>
                <c:formatCode>General</c:formatCode>
                <c:ptCount val="3"/>
                <c:pt idx="0">
                  <c:v>5.2</c:v>
                </c:pt>
                <c:pt idx="1">
                  <c:v>8.9</c:v>
                </c:pt>
                <c:pt idx="2">
                  <c:v>6.6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2-0C53-4B43-A7DC-8A7632D89B08}"/>
            </c:ext>
          </c:extLst>
        </c:ser>
        <c:ser>
          <c:idx val="3"/>
          <c:order val="3"/>
          <c:tx>
            <c:strRef>
              <c:f>'Ark1'!$E$1</c:f>
              <c:strCache>
                <c:ptCount val="1"/>
                <c:pt idx="0">
                  <c:v>Øvrige</c:v>
                </c:pt>
              </c:strCache>
            </c:strRef>
          </c:tx>
          <c:spPr>
            <a:solidFill>
              <a:schemeClr val="accent5">
                <a:tint val="58000"/>
                <a:alpha val="85000"/>
              </a:schemeClr>
            </a:solidFill>
            <a:ln w="9525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'Ark1'!$A$2:$A$4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'Ark1'!$E$2:$E$4</c:f>
              <c:numCache>
                <c:formatCode>General</c:formatCode>
                <c:ptCount val="3"/>
                <c:pt idx="0">
                  <c:v>5.9</c:v>
                </c:pt>
                <c:pt idx="1">
                  <c:v>6.3</c:v>
                </c:pt>
                <c:pt idx="2">
                  <c:v>11.2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3-0C53-4B43-A7DC-8A7632D89B0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05768744"/>
        <c:axId val="550257544"/>
      </c:barChart>
      <c:catAx>
        <c:axId val="605768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50257544"/>
        <c:crosses val="autoZero"/>
        <c:auto val="1"/>
        <c:lblAlgn val="ctr"/>
        <c:lblOffset val="100"/>
        <c:noMultiLvlLbl val="0"/>
      </c:catAx>
      <c:valAx>
        <c:axId val="550257544"/>
        <c:scaling>
          <c:orientation val="minMax"/>
        </c:scaling>
        <c:delete val="1"/>
        <c:axPos val="l"/>
        <c:majorGridlines>
          <c:spPr>
            <a:ln w="9525">
              <a:gradFill rotWithShape="0"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05768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gradFill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ontor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ontor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ontor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ontor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ontor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ontor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AgendaItemDocumentTemplate.dotx</Template>
  <TotalTime>49</TotalTime>
  <Pages>1</Pages>
  <Words>25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qaadmin</dc:creator>
  <cp:lastModifiedBy>Acadre-prod</cp:lastModifiedBy>
  <cp:revision>18</cp:revision>
  <dcterms:created xsi:type="dcterms:W3CDTF">2017-10-03T12:10:00Z</dcterms:created>
  <dcterms:modified xsi:type="dcterms:W3CDTF">2018-10-24T07:20:00Z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{CD3566C3-F64C-4187-AD57-7456E8DF8203}</vt:lpwstr>
  </property>
</Properties>
</file>