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B16F92" w:rsidP="005150BE">
      <w:pPr>
        <w:pStyle w:val="Heading1"/>
        <w:rPr>
          <w:lang w:val="en-US"/>
        </w:rPr>
      </w:pPr>
      <w:r w:rsidRPr="00B16F92">
        <w:rPr>
          <w:lang w:val="en-US"/>
        </w:rPr>
        <w:t>Mødested for unge</w:t>
      </w:r>
    </w:p>
    <w:p w:rsidR="007931D6" w:rsidRPr="007931D6" w:rsidP="007931D6">
      <w:pPr>
        <w:pStyle w:val="Heading3"/>
        <w:rPr>
          <w:lang w:val="en-US"/>
        </w:rPr>
      </w:pPr>
      <w:bookmarkStart w:id="0" w:name="_GoBack"/>
      <w:bookmarkEnd w:id="0"/>
      <w:r w:rsidRPr="007931D6">
        <w:rPr>
          <w:lang w:val="en-US"/>
        </w:rPr>
        <w:t>Åben</w:t>
      </w:r>
      <w:r>
        <w:rPr>
          <w:lang w:val="en-US"/>
        </w:rPr>
        <w:t xml:space="preserve"> </w:t>
      </w:r>
      <w:r>
        <w:rPr>
          <w:lang w:val="en-US"/>
        </w:rPr>
        <w:t>dagsordenpunkt</w:t>
      </w:r>
    </w:p>
    <w:p w:rsidR="00B16F92" w:rsidRPr="007931D6" w:rsidP="00C50E4A">
      <w:pPr>
        <w:pStyle w:val="Heading3"/>
        <w:rPr>
          <w:lang w:val="en-US"/>
        </w:rPr>
      </w:pPr>
      <w:r w:rsidRPr="007931D6">
        <w:rPr>
          <w:lang w:val="en-US"/>
        </w:rPr>
        <w:t>Sagsid</w:t>
      </w:r>
      <w:r w:rsidRPr="007931D6">
        <w:rPr>
          <w:lang w:val="en-US"/>
        </w:rPr>
        <w:t>:</w:t>
      </w:r>
      <w:r w:rsidRPr="007931D6">
        <w:rPr>
          <w:lang w:val="en-US"/>
        </w:rPr>
        <w:tab/>
      </w:r>
      <w:r w:rsidRPr="007931D6">
        <w:rPr>
          <w:lang w:val="en-US"/>
        </w:rPr>
        <w:tab/>
      </w:r>
      <w:r w:rsidRPr="007931D6">
        <w:rPr>
          <w:b w:val="0"/>
          <w:lang w:val="en-US"/>
        </w:rPr>
        <w:t>20/2205</w:t>
      </w:r>
    </w:p>
    <w:p w:rsidR="00B16F92" w:rsidRPr="007931D6" w:rsidP="00C50E4A">
      <w:pPr>
        <w:pStyle w:val="Heading3"/>
        <w:rPr>
          <w:lang w:val="en-US"/>
        </w:rPr>
      </w:pPr>
      <w:r w:rsidRPr="007931D6">
        <w:rPr>
          <w:lang w:val="en-US"/>
        </w:rPr>
        <w:t>Sagen</w:t>
      </w:r>
      <w:r w:rsidRPr="007931D6">
        <w:rPr>
          <w:lang w:val="en-US"/>
        </w:rPr>
        <w:t xml:space="preserve"> </w:t>
      </w:r>
      <w:r w:rsidRPr="007931D6">
        <w:rPr>
          <w:lang w:val="en-US"/>
        </w:rPr>
        <w:t>afgøres</w:t>
      </w:r>
      <w:r w:rsidRPr="007931D6">
        <w:rPr>
          <w:lang w:val="en-US"/>
        </w:rPr>
        <w:t xml:space="preserve"> i</w:t>
      </w:r>
      <w:r w:rsidRPr="007931D6">
        <w:rPr>
          <w:lang w:val="en-US"/>
        </w:rPr>
        <w:t xml:space="preserve">: </w:t>
      </w:r>
      <w:r w:rsidRPr="007931D6">
        <w:rPr>
          <w:lang w:val="en-US"/>
        </w:rPr>
        <w:tab/>
      </w:r>
      <w:r w:rsidRPr="007931D6">
        <w:rPr>
          <w:b w:val="0"/>
          <w:lang w:val="en-US"/>
        </w:rPr>
        <w:t>Børne- og Undervisningsudvalget</w:t>
      </w:r>
    </w:p>
    <w:p w:rsidR="00C50E4A" w:rsidRPr="007931D6" w:rsidP="00C50E4A">
      <w:pPr>
        <w:rPr>
          <w:lang w:val="en-US"/>
        </w:rPr>
      </w:pPr>
    </w:p>
    <w:p>
      <w:pPr>
        <w:pStyle w:val="Heading2"/>
      </w:pPr>
      <w:r>
        <w:t>Indledning</w:t>
      </w:r>
      <w:bookmarkStart w:id="1" w:name="DocPart306685"/>
    </w:p>
    <w:p>
      <w:pPr>
        <w:pBdr>
          <w:top w:val="nil"/>
          <w:left w:val="nil"/>
          <w:bottom w:val="nil"/>
          <w:right w:val="nil"/>
          <w:between w:val="nil"/>
          <w:bar w:val="nil"/>
        </w:pBdr>
        <w:rPr>
          <w:b/>
          <w:i w:val="0"/>
          <w:u w:val="none"/>
          <w:vertAlign w:val="baseline"/>
        </w:rPr>
      </w:pPr>
      <w:r>
        <w:rPr>
          <w:b/>
          <w:i w:val="0"/>
          <w:u w:val="none"/>
          <w:vertAlign w:val="baseline"/>
        </w:rPr>
        <w:t xml:space="preserve">Sagsgang: </w:t>
      </w:r>
    </w:p>
    <w:tbl>
      <w:tblPr>
        <w:tblStyle w:val="TableNormal"/>
        <w:tblW w:w="5000" w:type="pct"/>
        <w:tblCellMar>
          <w:left w:w="0" w:type="dxa"/>
          <w:right w:w="0" w:type="dxa"/>
        </w:tblCellMar>
        <w:tblLook w:val="04A0"/>
      </w:tblPr>
      <w:tblGrid>
        <w:gridCol w:w="2020"/>
        <w:gridCol w:w="957"/>
        <w:gridCol w:w="957"/>
        <w:gridCol w:w="957"/>
        <w:gridCol w:w="957"/>
        <w:gridCol w:w="957"/>
        <w:gridCol w:w="957"/>
        <w:gridCol w:w="958"/>
        <w:gridCol w:w="958"/>
      </w:tblGrid>
      <w:tr w:rsidTr="001C3195">
        <w:tblPrEx>
          <w:tblW w:w="5000" w:type="pct"/>
          <w:tblCellMar>
            <w:left w:w="0" w:type="dxa"/>
            <w:right w:w="0" w:type="dxa"/>
          </w:tblCellMar>
          <w:tblLook w:val="04A0"/>
        </w:tblPrEx>
        <w:trPr>
          <w:cantSplit/>
        </w:trPr>
        <w:tc>
          <w:tcPr>
            <w:tcW w:w="950" w:type="pct"/>
            <w:tcBorders>
              <w:top w:val="outset" w:sz="8" w:space="0" w:color="111111"/>
              <w:left w:val="outset" w:sz="8" w:space="0" w:color="111111"/>
              <w:bottom w:val="outset" w:sz="8" w:space="0" w:color="111111"/>
              <w:right w:val="outset" w:sz="8" w:space="0" w:color="111111"/>
            </w:tcBorders>
            <w:tcMar>
              <w:top w:w="20" w:type="dxa"/>
              <w:left w:w="20"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 xml:space="preserve">  </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BY</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ØK</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ÆGU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PBU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KMU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BUU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KFU</w:t>
            </w:r>
          </w:p>
        </w:tc>
        <w:tc>
          <w:tcPr>
            <w:tcW w:w="450" w:type="pct"/>
            <w:tcBorders>
              <w:top w:val="outset" w:sz="8" w:space="0" w:color="111111"/>
              <w:left w:val="nil"/>
              <w:bottom w:val="outset" w:sz="8" w:space="0" w:color="111111"/>
              <w:right w:val="outset" w:sz="8" w:space="0" w:color="111111"/>
            </w:tcBorders>
            <w:tcMar>
              <w:top w:w="80" w:type="dxa"/>
              <w:left w:w="15" w:type="dxa"/>
              <w:bottom w:w="20" w:type="dxa"/>
              <w:right w:w="20"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SAMU</w:t>
            </w:r>
          </w:p>
        </w:tc>
      </w:tr>
      <w:tr w:rsidTr="00594EE0">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Orientering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x</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r w:rsidTr="00594EE0">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Indstilling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r w:rsidTr="00594EE0">
        <w:tblPrEx>
          <w:tblW w:w="5000" w:type="pct"/>
          <w:tblCellMar>
            <w:left w:w="0" w:type="dxa"/>
            <w:right w:w="0" w:type="dxa"/>
          </w:tblCellMar>
          <w:tblLook w:val="04A0"/>
        </w:tblPrEx>
        <w:trPr>
          <w:cantSplit/>
          <w:trHeight w:val="454"/>
        </w:trPr>
        <w:tc>
          <w:tcPr>
            <w:tcW w:w="0" w:type="auto"/>
            <w:tcBorders>
              <w:top w:val="nil"/>
              <w:left w:val="outset" w:sz="8" w:space="0" w:color="111111"/>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r>
              <w:rPr>
                <w:b w:val="0"/>
                <w:i w:val="0"/>
                <w:u w:val="none"/>
                <w:vertAlign w:val="baseline"/>
              </w:rPr>
              <w:t>Beslutning</w:t>
            </w: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c>
          <w:tcPr>
            <w:tcW w:w="0" w:type="auto"/>
            <w:tcBorders>
              <w:top w:val="nil"/>
              <w:left w:val="nil"/>
              <w:bottom w:val="outset" w:sz="8" w:space="0" w:color="111111"/>
              <w:right w:val="outset" w:sz="8" w:space="0" w:color="111111"/>
            </w:tcBorders>
            <w:tcMar>
              <w:top w:w="15" w:type="dxa"/>
              <w:left w:w="15" w:type="dxa"/>
              <w:bottom w:w="15" w:type="dxa"/>
              <w:right w:w="15" w:type="dxa"/>
            </w:tcMar>
            <w:vAlign w:val="center"/>
            <w:hideMark/>
          </w:tcPr>
          <w:p>
            <w:pPr>
              <w:pBdr>
                <w:top w:val="nil"/>
                <w:left w:val="nil"/>
                <w:bottom w:val="nil"/>
                <w:right w:val="nil"/>
                <w:between w:val="nil"/>
                <w:bar w:val="nil"/>
              </w:pBdr>
              <w:rPr>
                <w:b w:val="0"/>
                <w:i w:val="0"/>
                <w:u w:val="none"/>
                <w:vertAlign w:val="baseline"/>
              </w:rPr>
            </w:pPr>
          </w:p>
        </w:tc>
      </w:tr>
    </w:tbl>
    <w:p>
      <w:pPr>
        <w:pBdr>
          <w:top w:val="nil"/>
          <w:left w:val="nil"/>
          <w:bottom w:val="nil"/>
          <w:right w:val="nil"/>
          <w:between w:val="nil"/>
          <w:bar w:val="nil"/>
        </w:pBdr>
        <w:rPr>
          <w:b w:val="0"/>
          <w:i w:val="0"/>
          <w:u w:val="none"/>
          <w:vertAlign w:val="baseline"/>
        </w:rPr>
      </w:pPr>
      <w:r>
        <w:rPr>
          <w:b w:val="0"/>
          <w:i w:val="0"/>
          <w:u w:val="none"/>
          <w:vertAlign w:val="baseline"/>
        </w:rPr>
        <w:t xml:space="preserve">BY=Byråd, ØK=Økonomiudvalg, </w:t>
      </w:r>
      <w:r>
        <w:rPr>
          <w:b w:val="0"/>
          <w:i w:val="0"/>
          <w:u w:val="none"/>
          <w:vertAlign w:val="baseline"/>
        </w:rPr>
        <w:t>ÆGU=Ældre- og Genoptræningsudvalg, PBU=Plan- og Boligudvalg, KMU=Klima- og Miljøudvalg, BUU=Børne- og Undervisningsudvalg, KFU=Kultur- og Fritidsudvalg, SAMU=Social- og Arbejdsmarkedsudvalg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I denne sag orienteres om UngRingsteds (Ungdomsskolens) analyse a</w:t>
      </w:r>
      <w:r>
        <w:rPr>
          <w:b w:val="0"/>
          <w:i w:val="0"/>
          <w:u w:val="none"/>
          <w:vertAlign w:val="baseline"/>
        </w:rPr>
        <w:t>f behov for mødested for unge som det fremgår af hensigtserklæring nr. 14 i budgetaftalen for 2019-2022. UngRingsted har i samarbejde med RUF (Ringsted Ungdomsforum) udarbejdet en rapport om unge voksnes behov for et ungemødested i Ringsted, som er vedlagt</w:t>
      </w:r>
      <w:r>
        <w:rPr>
          <w:b w:val="0"/>
          <w:i w:val="0"/>
          <w:u w:val="none"/>
          <w:vertAlign w:val="baseline"/>
        </w:rPr>
        <w:t xml:space="preserve"> som bilag (bilag1). Hovedpointerne fra undersøgelsen vil blive fremlagt i denne sagsfremstilling som grundlag for en eventuel senere beslutning ift. etablering af et ungemødested i Ringsted Kommune.</w:t>
      </w:r>
    </w:p>
    <w:p>
      <w:pPr>
        <w:pBdr>
          <w:top w:val="nil"/>
          <w:left w:val="nil"/>
          <w:bottom w:val="nil"/>
          <w:right w:val="nil"/>
          <w:between w:val="nil"/>
          <w:bar w:val="nil"/>
        </w:pBdr>
        <w:rPr>
          <w:b w:val="0"/>
          <w:i w:val="0"/>
          <w:u w:val="none"/>
          <w:vertAlign w:val="baseline"/>
        </w:rPr>
      </w:pPr>
      <w:r>
        <w:rPr>
          <w:b w:val="0"/>
          <w:i w:val="0"/>
          <w:u w:val="none"/>
          <w:vertAlign w:val="baseline"/>
        </w:rPr>
        <w:t xml:space="preserve"> UngRingsteds leder Helle Mikkelsen deltager ved mødet o</w:t>
      </w:r>
      <w:r>
        <w:rPr>
          <w:b w:val="0"/>
          <w:i w:val="0"/>
          <w:u w:val="none"/>
          <w:vertAlign w:val="baseline"/>
        </w:rPr>
        <w:t>g fremlægger hovedpointer fra undersøgelsen.</w:t>
      </w:r>
    </w:p>
    <w:p>
      <w:pPr>
        <w:pStyle w:val="Heading2"/>
      </w:pPr>
      <w:bookmarkEnd w:id="1"/>
      <w:r>
        <w:t>Beskrivelse af sagen</w:t>
      </w:r>
      <w:bookmarkStart w:id="2" w:name="DocPart306686"/>
    </w:p>
    <w:p>
      <w:pPr>
        <w:pBdr>
          <w:top w:val="nil"/>
          <w:left w:val="nil"/>
          <w:bottom w:val="nil"/>
          <w:right w:val="nil"/>
          <w:between w:val="nil"/>
          <w:bar w:val="nil"/>
        </w:pBdr>
        <w:rPr>
          <w:b w:val="0"/>
          <w:i w:val="0"/>
          <w:u w:val="none"/>
          <w:vertAlign w:val="baseline"/>
        </w:rPr>
      </w:pPr>
      <w:r>
        <w:rPr>
          <w:b w:val="0"/>
          <w:i w:val="0"/>
          <w:u w:val="none"/>
          <w:vertAlign w:val="baseline"/>
        </w:rPr>
        <w:t>I budgetaftalen for 2019-2022 bad Byrådet om en analyse af behovet for et mødested for unge i Ringsted Kommune med henblik på at etablere et ungemødested. Der blev efterspurgt en undersøgel</w:t>
      </w:r>
      <w:r>
        <w:rPr>
          <w:b w:val="0"/>
          <w:i w:val="0"/>
          <w:u w:val="none"/>
          <w:vertAlign w:val="baseline"/>
        </w:rPr>
        <w:t>se af, hvorledes der mangler tilbud, der retter sig mod en anden gruppe af unge end dem, der benytter sig af eksisterende tilbud. Undersøgelsen er foretaget i et samarbejde mellem UngRingsted og RUF på baggrund af spørgeskemaundersøgelser blandt unge melle</w:t>
      </w:r>
      <w:r>
        <w:rPr>
          <w:b w:val="0"/>
          <w:i w:val="0"/>
          <w:u w:val="none"/>
          <w:vertAlign w:val="baseline"/>
        </w:rPr>
        <w:t>m 15 og 25 år, hvor formålet har været at kortlægge, hvorvidt de unge selv udtrykker et behov og et ønske om et ungemødested i Ringsted Kommune samt hvilke kvaliteter og rammer de forestiller sig.</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Respondenterne har givet deres input til bl.a. følgende sp</w:t>
      </w:r>
      <w:r>
        <w:rPr>
          <w:b w:val="0"/>
          <w:i w:val="0"/>
          <w:u w:val="none"/>
          <w:vertAlign w:val="baseline"/>
        </w:rPr>
        <w:t>ørgsmål:</w:t>
      </w:r>
    </w:p>
    <w:p>
      <w:pPr>
        <w:pBdr>
          <w:top w:val="nil"/>
          <w:left w:val="nil"/>
          <w:bottom w:val="nil"/>
          <w:right w:val="nil"/>
          <w:between w:val="nil"/>
          <w:bar w:val="nil"/>
        </w:pBdr>
        <w:rPr>
          <w:b w:val="0"/>
          <w:i w:val="0"/>
          <w:u w:val="none"/>
          <w:vertAlign w:val="baseline"/>
        </w:rPr>
      </w:pP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 xml:space="preserve">om de synes det er en god idé med et mødested for den givne (15-25) aldersgruppe, </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 xml:space="preserve">om de selv kunne tænke sig at benytte mødestedet, </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 xml:space="preserve">hvilke aktiviteter og tilbud der eventuelt skal være på mødestedet, </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 xml:space="preserve">beliggenhed og </w:t>
      </w:r>
    </w:p>
    <w:p>
      <w:pPr>
        <w:pStyle w:val="ListParagraph"/>
        <w:numPr>
          <w:ilvl w:val="0"/>
          <w:numId w:val="11"/>
        </w:numPr>
        <w:pBdr>
          <w:top w:val="nil"/>
          <w:left w:val="nil"/>
          <w:bottom w:val="nil"/>
          <w:right w:val="nil"/>
          <w:between w:val="nil"/>
          <w:bar w:val="nil"/>
        </w:pBdr>
        <w:rPr>
          <w:b w:val="0"/>
          <w:i w:val="0"/>
          <w:u w:val="none"/>
          <w:vertAlign w:val="baseline"/>
        </w:rPr>
      </w:pPr>
      <w:r>
        <w:rPr>
          <w:b w:val="0"/>
          <w:i w:val="0"/>
          <w:u w:val="none"/>
          <w:vertAlign w:val="baseline"/>
        </w:rPr>
        <w:t xml:space="preserve">åbningstider. </w:t>
      </w:r>
    </w:p>
    <w:p>
      <w:pPr>
        <w:pBdr>
          <w:top w:val="nil"/>
          <w:left w:val="nil"/>
          <w:bottom w:val="nil"/>
          <w:right w:val="nil"/>
          <w:between w:val="nil"/>
          <w:bar w:val="nil"/>
        </w:pBdr>
        <w:rPr>
          <w:b w:val="0"/>
          <w:i w:val="0"/>
          <w:u w:val="none"/>
          <w:vertAlign w:val="baseline"/>
        </w:rPr>
      </w:pPr>
      <w:r>
        <w:rPr>
          <w:b w:val="0"/>
          <w:i w:val="0"/>
          <w:u w:val="none"/>
          <w:vertAlign w:val="baseline"/>
        </w:rPr>
        <w:t xml:space="preserve"> </w:t>
      </w:r>
    </w:p>
    <w:p>
      <w:pPr>
        <w:pBdr>
          <w:top w:val="nil"/>
          <w:left w:val="nil"/>
          <w:bottom w:val="nil"/>
          <w:right w:val="nil"/>
          <w:between w:val="nil"/>
          <w:bar w:val="nil"/>
        </w:pBdr>
        <w:rPr>
          <w:b w:val="0"/>
          <w:i w:val="0"/>
          <w:u w:val="none"/>
          <w:vertAlign w:val="baseline"/>
        </w:rPr>
      </w:pPr>
      <w:r>
        <w:rPr>
          <w:b w:val="0"/>
          <w:i w:val="0"/>
          <w:u w:val="none"/>
          <w:vertAlign w:val="baseline"/>
        </w:rPr>
        <w:t xml:space="preserve">Rapporten </w:t>
      </w:r>
      <w:r>
        <w:rPr>
          <w:b w:val="0"/>
          <w:i w:val="0"/>
          <w:u w:val="none"/>
          <w:vertAlign w:val="baseline"/>
        </w:rPr>
        <w:t>indeholder således en behovsanalyse samt et idékatalog med konkrete forslag til, hvordan et sådant ungemødested ville kunne organiseres og etableres (se side 4 i rapporten).</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 xml:space="preserve">Undersøgelsen viser også, at målgruppen af unge 15-25 årige ikke </w:t>
      </w:r>
      <w:r>
        <w:rPr>
          <w:b w:val="0"/>
          <w:i w:val="0"/>
          <w:u w:val="none"/>
          <w:vertAlign w:val="baseline"/>
        </w:rPr>
        <w:t xml:space="preserve">kan betragtes som en homogen gruppe med ensartede behov for et nyt ungemødested, men at det derimod er vigtigt at </w:t>
      </w:r>
      <w:r>
        <w:rPr>
          <w:b w:val="0"/>
          <w:i w:val="0"/>
          <w:u w:val="none"/>
          <w:vertAlign w:val="baseline"/>
        </w:rPr>
        <w:t xml:space="preserve">imødekomme deres behov med et bredspektret tilbud, som kan tilgodese mange forskellige ønsker og behov hos målgruppen. Især bør det tages med </w:t>
      </w:r>
      <w:r>
        <w:rPr>
          <w:b w:val="0"/>
          <w:i w:val="0"/>
          <w:u w:val="none"/>
          <w:vertAlign w:val="baseline"/>
        </w:rPr>
        <w:t>i overvejelserne, at et sådant mødested ville forsøge at etablere tilbud til unge, der ellers ikke benytter sig af de etablerede tilbud og derfor ofte mødes og ”hænger ud” i det offentlige rum.</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Respondenterne i undersøgelsen udtrykker således ønske om, at</w:t>
      </w:r>
      <w:r>
        <w:rPr>
          <w:b w:val="0"/>
          <w:i w:val="0"/>
          <w:u w:val="none"/>
          <w:vertAlign w:val="baseline"/>
        </w:rPr>
        <w:t xml:space="preserve"> et eventuelt mødested kan opfylde følgende behov: </w:t>
      </w:r>
    </w:p>
    <w:p>
      <w:pPr>
        <w:pBdr>
          <w:top w:val="nil"/>
          <w:left w:val="nil"/>
          <w:bottom w:val="nil"/>
          <w:right w:val="nil"/>
          <w:between w:val="nil"/>
          <w:bar w:val="nil"/>
        </w:pBdr>
        <w:rPr>
          <w:b w:val="0"/>
          <w:i w:val="0"/>
          <w:u w:val="none"/>
          <w:vertAlign w:val="baseline"/>
        </w:rPr>
      </w:pP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 xml:space="preserve">et uformelt og fleksibelt sted, hvor man som ung kan hænge ud på tværs af ungefællesskaber uden rammesætning </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et værested hvor unge kan mødes i fritiden og dyrke fælles interesser og etablere nye bekendt</w:t>
      </w:r>
      <w:r>
        <w:rPr>
          <w:b w:val="0"/>
          <w:i w:val="0"/>
          <w:u w:val="none"/>
          <w:vertAlign w:val="baseline"/>
        </w:rPr>
        <w:t xml:space="preserve">skaber </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 xml:space="preserve">åbent kreativt værksted og musikøvelokale, hvor de unge selv kan booke sig ind </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 xml:space="preserve">et multifunktionelt værksted </w:t>
      </w:r>
    </w:p>
    <w:p>
      <w:pPr>
        <w:pStyle w:val="ListParagraph"/>
        <w:numPr>
          <w:ilvl w:val="0"/>
          <w:numId w:val="12"/>
        </w:numPr>
        <w:pBdr>
          <w:top w:val="nil"/>
          <w:left w:val="nil"/>
          <w:bottom w:val="nil"/>
          <w:right w:val="nil"/>
          <w:between w:val="nil"/>
          <w:bar w:val="nil"/>
        </w:pBdr>
        <w:rPr>
          <w:b w:val="0"/>
          <w:i w:val="0"/>
          <w:u w:val="none"/>
          <w:vertAlign w:val="baseline"/>
        </w:rPr>
      </w:pPr>
      <w:r>
        <w:rPr>
          <w:b w:val="0"/>
          <w:i w:val="0"/>
          <w:u w:val="none"/>
          <w:vertAlign w:val="baseline"/>
        </w:rPr>
        <w:t xml:space="preserve">at lære fra sig og hjælpe hinanden gennem ung-til-ung-tilbud, eksempelvis i form af (personlig eller praktisk) rådgivning, mentorordning, </w:t>
      </w:r>
      <w:r>
        <w:rPr>
          <w:b w:val="0"/>
          <w:i w:val="0"/>
          <w:u w:val="none"/>
          <w:vertAlign w:val="baseline"/>
        </w:rPr>
        <w:t xml:space="preserve">LGBT-grupper og lignende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Med det formål:</w:t>
      </w:r>
    </w:p>
    <w:p>
      <w:pPr>
        <w:pBdr>
          <w:top w:val="nil"/>
          <w:left w:val="nil"/>
          <w:bottom w:val="nil"/>
          <w:right w:val="nil"/>
          <w:between w:val="nil"/>
          <w:bar w:val="nil"/>
        </w:pBdr>
        <w:rPr>
          <w:b w:val="0"/>
          <w:i w:val="0"/>
          <w:u w:val="none"/>
          <w:vertAlign w:val="baseline"/>
        </w:rPr>
      </w:pP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 xml:space="preserve">at styrke fællesskabet på tværs af ungegrupper, alder, forskellige studier, social baggrund og politiske holdninger </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et</w:t>
      </w:r>
      <w:r>
        <w:rPr>
          <w:b w:val="0"/>
          <w:i w:val="0"/>
          <w:u w:val="none"/>
          <w:vertAlign w:val="baseline"/>
        </w:rPr>
        <w:t xml:space="preserve"> sted der skaber samvær og samhørighed, og får de unge til at blive i byen og/eller vende tilbage efter endt uddannelse </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 xml:space="preserve">at give de unge lyst til at engagere sig i en sund og aktiv ungekultur i Ringsted </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 xml:space="preserve">at de unge oplever at ungemødestedet er deres sted; </w:t>
      </w:r>
      <w:r>
        <w:rPr>
          <w:b w:val="0"/>
          <w:i w:val="0"/>
          <w:u w:val="none"/>
          <w:vertAlign w:val="baseline"/>
        </w:rPr>
        <w:t xml:space="preserve">ejerskabsfornemmelse, medborgerskab og aktiv deltagelse og engagement i ungehuset </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 xml:space="preserve">at mødestedet skal være afsæt for personlig udvikling og kompetencer </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at få de unge væk fra gaden, forebyggende indsats for at mindske at unge ender på “kanten”, mindske kri</w:t>
      </w:r>
      <w:r>
        <w:rPr>
          <w:b w:val="0"/>
          <w:i w:val="0"/>
          <w:u w:val="none"/>
          <w:vertAlign w:val="baseline"/>
        </w:rPr>
        <w:t xml:space="preserve">minalitet, at gribe de unge tidligt og lytte til deres tanker og behov </w:t>
      </w:r>
    </w:p>
    <w:p>
      <w:pPr>
        <w:pStyle w:val="ListParagraph"/>
        <w:numPr>
          <w:ilvl w:val="0"/>
          <w:numId w:val="13"/>
        </w:numPr>
        <w:pBdr>
          <w:top w:val="nil"/>
          <w:left w:val="nil"/>
          <w:bottom w:val="nil"/>
          <w:right w:val="nil"/>
          <w:between w:val="nil"/>
          <w:bar w:val="nil"/>
        </w:pBdr>
        <w:rPr>
          <w:b w:val="0"/>
          <w:i w:val="0"/>
          <w:u w:val="none"/>
          <w:vertAlign w:val="baseline"/>
        </w:rPr>
      </w:pPr>
      <w:r>
        <w:rPr>
          <w:b w:val="0"/>
          <w:i w:val="0"/>
          <w:u w:val="none"/>
          <w:vertAlign w:val="baseline"/>
        </w:rPr>
        <w:t>at gøre brug af de unges mangeartede kompetencer, eksempelvis udbyde opgaver til unge mellem job eller uddannelse, på ungemødestedet, for bl.a. at fremme selvudvikling og brug af de un</w:t>
      </w:r>
      <w:r>
        <w:rPr>
          <w:b w:val="0"/>
          <w:i w:val="0"/>
          <w:u w:val="none"/>
          <w:vertAlign w:val="baseline"/>
        </w:rPr>
        <w:t xml:space="preserve">ges kompetencer </w:t>
      </w:r>
    </w:p>
    <w:p>
      <w:pPr>
        <w:pStyle w:val="ListParagraph"/>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i w:val="0"/>
          <w:u w:val="none"/>
          <w:vertAlign w:val="baseline"/>
        </w:rPr>
      </w:pPr>
      <w:r>
        <w:rPr>
          <w:b/>
          <w:i w:val="0"/>
          <w:u w:val="none"/>
          <w:vertAlign w:val="baseline"/>
        </w:rPr>
        <w:t>Et kreativt multihus med plads til forskellighed</w:t>
      </w:r>
    </w:p>
    <w:p>
      <w:pPr>
        <w:pBdr>
          <w:top w:val="nil"/>
          <w:left w:val="nil"/>
          <w:bottom w:val="nil"/>
          <w:right w:val="nil"/>
          <w:between w:val="nil"/>
          <w:bar w:val="nil"/>
        </w:pBdr>
        <w:rPr>
          <w:b w:val="0"/>
          <w:i w:val="0"/>
          <w:u w:val="none"/>
          <w:vertAlign w:val="baseline"/>
        </w:rPr>
      </w:pPr>
      <w:r>
        <w:rPr>
          <w:b w:val="0"/>
          <w:i w:val="0"/>
          <w:u w:val="none"/>
          <w:vertAlign w:val="baseline"/>
        </w:rPr>
        <w:t>På baggrund af analysen foreslår UngRingsted og RUF at ungemødestedet ligger centralt i Ringsted, og at der er plads til mange forskellige slags aktiviteter, så mødestedet tiltrækker en bre</w:t>
      </w:r>
      <w:r>
        <w:rPr>
          <w:b w:val="0"/>
          <w:i w:val="0"/>
          <w:u w:val="none"/>
          <w:vertAlign w:val="baseline"/>
        </w:rPr>
        <w:t>d gruppe af unge. 80 % af respondenterne bakker op om et sådant mødested. Enkelte påpeger dog, at målgruppen kan blive for bred og foreslår at mødestedet skulle være forbeholdt 18-25 årige. Dette ses dog af UngRingsted og RUF som en problemstilling, man ka</w:t>
      </w:r>
      <w:r>
        <w:rPr>
          <w:b w:val="0"/>
          <w:i w:val="0"/>
          <w:u w:val="none"/>
          <w:vertAlign w:val="baseline"/>
        </w:rPr>
        <w:t>n organisere sig ud af i og med at enkelte åbningsdage kan være forbeholdt afgrænsede aldersgrupper.</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 funktioner et kreativt multihus ifølge analysen bør kunne rumme er mere detaljeret skitseret i rapporten, men indeholder følgende elementer:</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Et lokale</w:t>
      </w:r>
      <w:r>
        <w:rPr>
          <w:b/>
          <w:i w:val="0"/>
          <w:u w:val="none"/>
          <w:vertAlign w:val="baseline"/>
        </w:rPr>
        <w:t xml:space="preserve"> med industrikøkken</w:t>
      </w:r>
      <w:r>
        <w:rPr>
          <w:b w:val="0"/>
          <w:i w:val="0"/>
          <w:u w:val="none"/>
          <w:vertAlign w:val="baseline"/>
        </w:rPr>
        <w:t xml:space="preserve"> så der kan afholdes events som f.eks. “Smag med RUF”, som er RUF’s månedlige madklub, til undervisning om økologi og bæredygtighed med jord til bord koncepter, madlavningskurser, fællesspisningsarrangementer, barista- og konditorkurser </w:t>
      </w:r>
      <w:r>
        <w:rPr>
          <w:b w:val="0"/>
          <w:i w:val="0"/>
          <w:u w:val="none"/>
          <w:vertAlign w:val="baseline"/>
        </w:rPr>
        <w:t xml:space="preserve">og som en regulær café med bemandet åbningstider m.m.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 xml:space="preserve">Et kreativt multimedieværksted </w:t>
      </w:r>
      <w:r>
        <w:rPr>
          <w:b w:val="0"/>
          <w:i w:val="0"/>
          <w:u w:val="none"/>
          <w:vertAlign w:val="baseline"/>
        </w:rPr>
        <w:t xml:space="preserve">hvor de digitalt interesserede og kreative sjæle kan udvikle deres faglige, personlige og kreative kompetencer. De unge ville kunne give sig i kast med </w:t>
      </w:r>
      <w:r>
        <w:rPr>
          <w:b w:val="0"/>
          <w:i w:val="0"/>
          <w:u w:val="none"/>
          <w:vertAlign w:val="baseline"/>
        </w:rPr>
        <w:t>filmprojekter, 3D</w:t>
      </w:r>
      <w:r>
        <w:rPr>
          <w:b w:val="0"/>
          <w:i w:val="0"/>
          <w:u w:val="none"/>
          <w:vertAlign w:val="baseline"/>
        </w:rPr>
        <w:t xml:space="preserve"> animation, benyttelse af et minifotostudie med green screen, eksperimentere med 3D- og plakatprint til events, lære at programmere apps, bygge robotter m.m.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En øvecontainer</w:t>
      </w:r>
      <w:r>
        <w:rPr>
          <w:b w:val="0"/>
          <w:i w:val="0"/>
          <w:u w:val="none"/>
          <w:vertAlign w:val="baseline"/>
        </w:rPr>
        <w:t>, som kan understøtte det spirende unge-musikmiljø i Ringsted. På baggrund af sær</w:t>
      </w:r>
      <w:r>
        <w:rPr>
          <w:b w:val="0"/>
          <w:i w:val="0"/>
          <w:u w:val="none"/>
          <w:vertAlign w:val="baseline"/>
        </w:rPr>
        <w:t>ligt kvalitative input fra undersøgelsen, er det blevet bemærket at der efterspørges et semi-udstyret øvelokale (med trommesæt, keyboard, P.A anlæg/Mixer) med onlinebooking for unge musikere i kommunen, hvor de har mulighed for at gøre brug at musiklokalet</w:t>
      </w:r>
      <w:r>
        <w:rPr>
          <w:b w:val="0"/>
          <w:i w:val="0"/>
          <w:u w:val="none"/>
          <w:vertAlign w:val="baseline"/>
        </w:rPr>
        <w:t xml:space="preserve"> når de vil.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Et veludstyret multifunktionelt værksted</w:t>
      </w:r>
      <w:r>
        <w:rPr>
          <w:b w:val="0"/>
          <w:i w:val="0"/>
          <w:u w:val="none"/>
          <w:vertAlign w:val="baseline"/>
        </w:rPr>
        <w:t xml:space="preserve"> for tekstil, træ, metal, laser cutter, grafisk arbejde, print og formning, og hvor du kan få hjælp til selvhjælp til projekter i alle størrelser – fra print af en opgave til reparation af gammel elekt</w:t>
      </w:r>
      <w:r>
        <w:rPr>
          <w:b w:val="0"/>
          <w:i w:val="0"/>
          <w:u w:val="none"/>
          <w:vertAlign w:val="baseline"/>
        </w:rPr>
        <w:t xml:space="preserve">ronik til bygning af en pallesofa. Derudover kunne der med fordel også skabes plads i værkstedet til små reparationer af knallerter. Særligt muligheden for et værksted ville tiltrække en gruppe af unge, som i øjeblikket er synlige i det offentlig rum, men </w:t>
      </w:r>
      <w:r>
        <w:rPr>
          <w:b w:val="0"/>
          <w:i w:val="0"/>
          <w:u w:val="none"/>
          <w:vertAlign w:val="baseline"/>
        </w:rPr>
        <w:t>som specifikt har ønsket at være en del af ungemødestedet og derfor ønsker sig et værksted.</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Et lokale til afholdelse af workshops</w:t>
      </w:r>
      <w:r>
        <w:rPr>
          <w:b w:val="0"/>
          <w:i w:val="0"/>
          <w:u w:val="none"/>
          <w:vertAlign w:val="baseline"/>
        </w:rPr>
        <w:t xml:space="preserve"> hvor man med fordel kunne oprette et slags projektværksted, hvor de unge ville have mulighed for at bliver klædt på med værkt</w:t>
      </w:r>
      <w:r>
        <w:rPr>
          <w:b w:val="0"/>
          <w:i w:val="0"/>
          <w:u w:val="none"/>
          <w:vertAlign w:val="baseline"/>
        </w:rPr>
        <w:t xml:space="preserve">øjer til projektledelse og eventmanagement fra ideudvikling til afvikling, og være med til at skabe rammerne for arrangementerne på- og udenfor om-rådet.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Et mødelokale</w:t>
      </w:r>
      <w:r>
        <w:rPr>
          <w:b w:val="0"/>
          <w:i w:val="0"/>
          <w:u w:val="none"/>
          <w:vertAlign w:val="baseline"/>
        </w:rPr>
        <w:t xml:space="preserve"> som lokale ungeforeninger kan booke og dermed blive en aktiv del af ungemødested. Ved </w:t>
      </w:r>
      <w:r>
        <w:rPr>
          <w:b w:val="0"/>
          <w:i w:val="0"/>
          <w:u w:val="none"/>
          <w:vertAlign w:val="baseline"/>
        </w:rPr>
        <w:t>at invitere lokale ungeforeninger ind i ungemødestedet sikres der forskelligartede arrangementer og mulighed for fremtidige foreningsfællesskaber, der kunne fokusere på en indsats mod unges ensomhed eller LGBT-grupper, som der bliver efterspurgt i undersøg</w:t>
      </w:r>
      <w:r>
        <w:rPr>
          <w:b w:val="0"/>
          <w:i w:val="0"/>
          <w:u w:val="none"/>
          <w:vertAlign w:val="baseline"/>
        </w:rPr>
        <w:t xml:space="preserve">elsen.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i w:val="0"/>
          <w:u w:val="none"/>
          <w:vertAlign w:val="baseline"/>
        </w:rPr>
        <w:t>Udendørsfaciliteter</w:t>
      </w:r>
      <w:r>
        <w:rPr>
          <w:b w:val="0"/>
          <w:i w:val="0"/>
          <w:u w:val="none"/>
          <w:vertAlign w:val="baseline"/>
        </w:rPr>
        <w:t xml:space="preserve"> med plads til streetfodbold og Street basket, hvilket er et stort ønske blandt de unge, som allerede er aktive i foreninger. Ved at imødekomme dette ønske, ville det give plads til forskellighed. Derudover kunne man med fordel </w:t>
      </w:r>
      <w:r>
        <w:rPr>
          <w:b w:val="0"/>
          <w:i w:val="0"/>
          <w:u w:val="none"/>
          <w:vertAlign w:val="baseline"/>
        </w:rPr>
        <w:t xml:space="preserve">også lave en lille køkkenhave set i lyset af at bæredygtighed og klimadagsorden. </w:t>
      </w:r>
    </w:p>
    <w:p>
      <w:pPr>
        <w:pBdr>
          <w:top w:val="nil"/>
          <w:left w:val="nil"/>
          <w:bottom w:val="nil"/>
          <w:right w:val="nil"/>
          <w:between w:val="nil"/>
          <w:bar w:val="nil"/>
        </w:pBdr>
        <w:rPr>
          <w:b w:val="0"/>
          <w:i w:val="0"/>
          <w:u w:val="none"/>
          <w:vertAlign w:val="baseline"/>
        </w:rPr>
      </w:pPr>
      <w:r>
        <w:rPr>
          <w:b/>
          <w:i w:val="0"/>
          <w:u w:val="none"/>
          <w:vertAlign w:val="baseline"/>
        </w:rPr>
        <w:t>Et lokale til ungerådgivning</w:t>
      </w:r>
      <w:r>
        <w:rPr>
          <w:b w:val="0"/>
          <w:i w:val="0"/>
          <w:u w:val="none"/>
          <w:vertAlign w:val="baseline"/>
        </w:rPr>
        <w:t xml:space="preserve"> med faste ugentlige åbningstider, hvor ung-til-ung erfaringsudveksling/rådgivning kunne rammesættes.  </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Ringsted Ungeforum (RUF) anbefaler, at mø</w:t>
      </w:r>
      <w:r>
        <w:rPr>
          <w:b w:val="0"/>
          <w:i w:val="0"/>
          <w:u w:val="none"/>
          <w:vertAlign w:val="baseline"/>
        </w:rPr>
        <w:t xml:space="preserve">destedet bliver drevet som et socialøkonomisk projekt og at der søges fonde som eksempelvis Tuborg Fonden eller Roskilde Fonden, som særligt støtter op om mødesteder for unge og mødesteder etableret af og med unge. </w:t>
      </w:r>
    </w:p>
    <w:p>
      <w:pPr>
        <w:pBdr>
          <w:top w:val="nil"/>
          <w:left w:val="nil"/>
          <w:bottom w:val="nil"/>
          <w:right w:val="nil"/>
          <w:between w:val="nil"/>
          <w:bar w:val="nil"/>
        </w:pBdr>
        <w:rPr>
          <w:b w:val="0"/>
          <w:i w:val="0"/>
          <w:u w:val="none"/>
          <w:vertAlign w:val="baseline"/>
        </w:rPr>
      </w:pPr>
      <w:r>
        <w:rPr>
          <w:b w:val="0"/>
          <w:i w:val="0"/>
          <w:u w:val="none"/>
          <w:vertAlign w:val="baseline"/>
        </w:rPr>
        <w:t>Derudover foreslår RUF, at der etableres</w:t>
      </w:r>
      <w:r>
        <w:rPr>
          <w:b w:val="0"/>
          <w:i w:val="0"/>
          <w:u w:val="none"/>
          <w:vertAlign w:val="baseline"/>
        </w:rPr>
        <w:t xml:space="preserve"> en café, hvor der bliver serveret klimavenlige småretter, og som bliver hjertet i ungemødestedet.</w:t>
      </w:r>
    </w:p>
    <w:p>
      <w:pPr>
        <w:pBdr>
          <w:top w:val="nil"/>
          <w:left w:val="nil"/>
          <w:bottom w:val="nil"/>
          <w:right w:val="nil"/>
          <w:between w:val="nil"/>
          <w:bar w:val="nil"/>
        </w:pBdr>
        <w:rPr>
          <w:b w:val="0"/>
          <w:i w:val="0"/>
          <w:u w:val="none"/>
          <w:vertAlign w:val="baseline"/>
        </w:rPr>
      </w:pPr>
    </w:p>
    <w:p>
      <w:pPr>
        <w:pBdr>
          <w:top w:val="nil"/>
          <w:left w:val="nil"/>
          <w:bottom w:val="nil"/>
          <w:right w:val="nil"/>
          <w:between w:val="nil"/>
          <w:bar w:val="nil"/>
        </w:pBdr>
        <w:rPr>
          <w:b w:val="0"/>
          <w:i w:val="0"/>
          <w:u w:val="none"/>
          <w:vertAlign w:val="baseline"/>
        </w:rPr>
      </w:pPr>
      <w:r>
        <w:rPr>
          <w:b w:val="0"/>
          <w:i w:val="0"/>
          <w:u w:val="none"/>
          <w:vertAlign w:val="baseline"/>
        </w:rPr>
        <w:t>Dette har Tapperiet i Køge, INSP i Roskilde og Godsbanen i Aarhus gjort med succes, og de har dermed skabt et samlingspunkt for byens unge ved at samle teat</w:t>
      </w:r>
      <w:r>
        <w:rPr>
          <w:b w:val="0"/>
          <w:i w:val="0"/>
          <w:u w:val="none"/>
          <w:vertAlign w:val="baseline"/>
        </w:rPr>
        <w:t>erforestillinger, pop-up koncerter, loppemarkeder, værksteder, projektlokaler og en café i samme bygning. Ved at etablere en café med et industrikøkken og et hold af frivillige kokke med hygiejnekursus, ville det kunne være med til at gøre ungemødestedet ø</w:t>
      </w:r>
      <w:r>
        <w:rPr>
          <w:b w:val="0"/>
          <w:i w:val="0"/>
          <w:u w:val="none"/>
          <w:vertAlign w:val="baseline"/>
        </w:rPr>
        <w:t>konomisk bæredygtigt, og man kunne overveje at åbne caféen op for alle byens borgere, ligesom de har gjort på Tapperiet i Køge.</w:t>
      </w:r>
    </w:p>
    <w:p>
      <w:pPr>
        <w:pStyle w:val="Heading2"/>
      </w:pPr>
      <w:bookmarkEnd w:id="2"/>
      <w:r>
        <w:t>Inddragelse og høring</w:t>
      </w:r>
      <w:bookmarkStart w:id="3" w:name="DocPart306687"/>
    </w:p>
    <w:p>
      <w:pPr>
        <w:pBdr>
          <w:top w:val="nil"/>
          <w:left w:val="nil"/>
          <w:bottom w:val="nil"/>
          <w:right w:val="nil"/>
          <w:between w:val="nil"/>
          <w:bar w:val="nil"/>
        </w:pBdr>
        <w:rPr>
          <w:b w:val="0"/>
          <w:i w:val="0"/>
          <w:u w:val="none"/>
          <w:vertAlign w:val="baseline"/>
        </w:rPr>
      </w:pPr>
      <w:r>
        <w:rPr>
          <w:b w:val="0"/>
          <w:i w:val="0"/>
          <w:u w:val="none"/>
          <w:vertAlign w:val="baseline"/>
        </w:rPr>
        <w:t>Undersøgelsen er baseret på i alt 598 besvarelser på spørgeskemaundersøgelsen. Størstedelen af besvarelserne er fra unge voksne i alderen 15-21 år. Det er værd at bemærke, at der er et lille segment af besvarelserne fra det elektroniske spørgeskema, hvor r</w:t>
      </w:r>
      <w:r>
        <w:rPr>
          <w:b w:val="0"/>
          <w:i w:val="0"/>
          <w:u w:val="none"/>
          <w:vertAlign w:val="baseline"/>
        </w:rPr>
        <w:t>espondenternes alder ‘falder udenfor’ kategorien ‘unge voksne mellem 15-25’. Dette skyldes blandt andet, at der er flere af respondenterne, der har meddelt, at de har svaret for (eller sammen med) deres børn.</w:t>
      </w:r>
    </w:p>
    <w:p>
      <w:pPr>
        <w:pStyle w:val="Heading2"/>
      </w:pPr>
      <w:bookmarkEnd w:id="3"/>
      <w:r>
        <w:t>Økonomi</w:t>
      </w:r>
      <w:bookmarkStart w:id="4" w:name="DocPart306688"/>
    </w:p>
    <w:p>
      <w:pPr>
        <w:pBdr>
          <w:top w:val="nil"/>
          <w:left w:val="nil"/>
          <w:bottom w:val="nil"/>
          <w:right w:val="nil"/>
          <w:between w:val="nil"/>
          <w:bar w:val="nil"/>
        </w:pBdr>
        <w:rPr>
          <w:b w:val="0"/>
          <w:i w:val="0"/>
          <w:u w:val="none"/>
          <w:vertAlign w:val="baseline"/>
        </w:rPr>
      </w:pPr>
      <w:r>
        <w:rPr>
          <w:b w:val="0"/>
          <w:i w:val="0"/>
          <w:u w:val="none"/>
          <w:vertAlign w:val="baseline"/>
        </w:rPr>
        <w:t>Ingen bevillingsmæssige konsekvenser p</w:t>
      </w:r>
      <w:r>
        <w:rPr>
          <w:b w:val="0"/>
          <w:i w:val="0"/>
          <w:u w:val="none"/>
          <w:vertAlign w:val="baseline"/>
        </w:rPr>
        <w:t>å nuværende tidspunkt.</w:t>
      </w:r>
    </w:p>
    <w:p>
      <w:pPr>
        <w:pStyle w:val="Heading2"/>
      </w:pPr>
      <w:bookmarkEnd w:id="4"/>
      <w:r>
        <w:t>Vurdering</w:t>
      </w:r>
      <w:bookmarkStart w:id="5" w:name="DocPart306689"/>
    </w:p>
    <w:p>
      <w:pPr>
        <w:pBdr>
          <w:top w:val="nil"/>
          <w:left w:val="nil"/>
          <w:bottom w:val="nil"/>
          <w:right w:val="nil"/>
          <w:between w:val="nil"/>
          <w:bar w:val="nil"/>
        </w:pBdr>
        <w:rPr>
          <w:b w:val="0"/>
          <w:i w:val="0"/>
          <w:u w:val="none"/>
          <w:vertAlign w:val="baseline"/>
        </w:rPr>
      </w:pPr>
      <w:r>
        <w:rPr>
          <w:b w:val="0"/>
          <w:i w:val="0"/>
          <w:u w:val="none"/>
          <w:vertAlign w:val="baseline"/>
        </w:rPr>
        <w:t>Ud fra spørgeskemaundersøgelsen vurderes det, at især de unge mellem 15 og 21 år udtrykker et stort ønske om et mødested for deres aldersgruppe, der rækker ud over allerede etablerede tilbud. Det vurderes desuden på baggru</w:t>
      </w:r>
      <w:r>
        <w:rPr>
          <w:b w:val="0"/>
          <w:i w:val="0"/>
          <w:u w:val="none"/>
          <w:vertAlign w:val="baseline"/>
        </w:rPr>
        <w:t>nd af lignende multifunktionelle mødesteder for unge i andre kommuner, at sandsynligheden for succes vil være realistisk. Samtidig spiller et sådant initiativ sammen med og understøtter øvrige tiltag i Ringsted Kommune for den gruppe af unge, der ikke beny</w:t>
      </w:r>
      <w:r>
        <w:rPr>
          <w:b w:val="0"/>
          <w:i w:val="0"/>
          <w:u w:val="none"/>
          <w:vertAlign w:val="baseline"/>
        </w:rPr>
        <w:t>tter sig af de allerede etablerede tiltag, og som derfor mødes og ”hænger ud” i det offentlige rum.</w:t>
      </w:r>
    </w:p>
    <w:p>
      <w:pPr>
        <w:pStyle w:val="Heading2"/>
      </w:pPr>
      <w:bookmarkEnd w:id="5"/>
      <w:r>
        <w:t>Indstilling</w:t>
      </w:r>
      <w:bookmarkStart w:id="6" w:name="DocPart306690"/>
    </w:p>
    <w:p>
      <w:pPr>
        <w:pBdr>
          <w:top w:val="nil"/>
          <w:left w:val="nil"/>
          <w:bottom w:val="nil"/>
          <w:right w:val="nil"/>
          <w:between w:val="nil"/>
          <w:bar w:val="nil"/>
        </w:pBdr>
        <w:rPr>
          <w:b w:val="0"/>
          <w:i w:val="0"/>
          <w:u w:val="none"/>
          <w:vertAlign w:val="baseline"/>
        </w:rPr>
      </w:pPr>
      <w:r>
        <w:rPr>
          <w:b/>
          <w:i w:val="0"/>
          <w:u w:val="none"/>
          <w:vertAlign w:val="baseline"/>
        </w:rPr>
        <w:t>Direktionen indstiller</w:t>
      </w:r>
      <w:r>
        <w:rPr>
          <w:b w:val="0"/>
          <w:i w:val="0"/>
          <w:u w:val="none"/>
          <w:vertAlign w:val="baseline"/>
        </w:rPr>
        <w:t>, at orienteringen tages til efterretning som grundlag for evt. fremtidig beslutning om etablering af et mødested for ung</w:t>
      </w:r>
      <w:r>
        <w:rPr>
          <w:b w:val="0"/>
          <w:i w:val="0"/>
          <w:u w:val="none"/>
          <w:vertAlign w:val="baseline"/>
        </w:rPr>
        <w:t>e i Ringsted Kommune.</w:t>
      </w:r>
    </w:p>
    <w:p>
      <w:pPr>
        <w:pStyle w:val="Heading2"/>
      </w:pPr>
      <w:bookmarkEnd w:id="6"/>
      <w:r>
        <w:t>Beslutning i Børne- og Undervisningsudvalget den 17-02-2020</w:t>
      </w:r>
      <w:bookmarkStart w:id="7" w:name="DocPart308270"/>
    </w:p>
    <w:p w14:paraId="70857D71" w14:textId="2C661A1A">
      <w:pPr>
        <w:pBdr>
          <w:top w:val="nil"/>
          <w:left w:val="nil"/>
          <w:bottom w:val="nil"/>
          <w:right w:val="nil"/>
          <w:between w:val="nil"/>
          <w:bar w:val="nil"/>
        </w:pBdr>
        <w:rPr>
          <w:b w:val="0"/>
          <w:i w:val="0"/>
          <w:u w:val="none"/>
          <w:vertAlign w:val="baseline"/>
        </w:rPr>
      </w:pPr>
      <w:r>
        <w:rPr>
          <w:b w:val="0"/>
          <w:i w:val="0"/>
          <w:u w:val="none"/>
          <w:vertAlign w:val="baseline"/>
        </w:rPr>
        <w:t>Udsat til næste møde.</w:t>
      </w:r>
    </w:p>
    <w:p w14:paraId="64042BBD" w14:textId="0F0ED8C4">
      <w:pPr>
        <w:pBdr>
          <w:top w:val="nil"/>
          <w:left w:val="nil"/>
          <w:bottom w:val="nil"/>
          <w:right w:val="nil"/>
          <w:between w:val="nil"/>
          <w:bar w:val="nil"/>
        </w:pBdr>
        <w:rPr>
          <w:b w:val="0"/>
          <w:i w:val="0"/>
          <w:u w:val="none"/>
          <w:vertAlign w:val="baseline"/>
        </w:rPr>
      </w:pPr>
    </w:p>
    <w:p w14:paraId="479E8848" w14:textId="107E864A">
      <w:pPr>
        <w:pBdr>
          <w:top w:val="nil"/>
          <w:left w:val="nil"/>
          <w:bottom w:val="nil"/>
          <w:right w:val="nil"/>
          <w:between w:val="nil"/>
          <w:bar w:val="nil"/>
        </w:pBdr>
        <w:rPr>
          <w:b w:val="0"/>
          <w:i/>
          <w:u w:val="none"/>
          <w:vertAlign w:val="baseline"/>
        </w:rPr>
      </w:pPr>
      <w:r>
        <w:rPr>
          <w:b w:val="0"/>
          <w:i/>
          <w:u w:val="none"/>
          <w:vertAlign w:val="baseline"/>
        </w:rPr>
        <w:t>Ej til stede: Sadik Topcu</w:t>
      </w:r>
    </w:p>
    <w:p>
      <w:pPr>
        <w:pStyle w:val="Subtitle"/>
      </w:pPr>
      <w:r>
        <w:br/>
      </w:r>
      <w:r>
        <w:t>Fraværende:</w:t>
      </w:r>
      <w:r>
        <w:br/>
      </w:r>
      <w:r>
        <w:t>Sadik Topcu (hjsato)  A</w:t>
      </w:r>
    </w:p>
    <w:p>
      <w:bookmarkEnd w:id="7"/>
    </w:p>
    <w:p w:rsidR="00C50E4A" w:rsidRPr="00C50E4A" w:rsidP="00C50E4A">
      <w:pPr>
        <w:pStyle w:val="TOAHeading"/>
        <w:jc w:val="left"/>
        <w:rPr>
          <w:rStyle w:val="IntenseReference"/>
          <w:b w:val="0"/>
          <w:bCs w:val="0"/>
          <w:smallCaps w:val="0"/>
          <w:color w:val="auto"/>
          <w:spacing w:val="0"/>
        </w:rPr>
      </w:pPr>
    </w:p>
    <w:sectPr>
      <w:headerReference w:type="default" r:id="rI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A2B" w:rsidP="00626699">
    <w:pPr>
      <w:pStyle w:val="Header"/>
      <w:jc w:val="center"/>
    </w:pPr>
    <w:r w:rsidRPr="00626699">
      <w:t>Børne- og Undervisningsudvalget</w:t>
    </w:r>
    <w:r w:rsidRPr="00626699">
      <w:t xml:space="preserve"> </w:t>
    </w:r>
  </w:p>
  <w:p w:rsidR="008653BD" w:rsidRPr="00626699" w:rsidP="00626699">
    <w:pPr>
      <w:pStyle w:val="Header"/>
      <w:jc w:val="center"/>
    </w:pPr>
    <w:r w:rsidRPr="00626699">
      <w:t>17-02-2020 17:30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0162E9C"/>
    <w:lvl w:ilvl="0">
      <w:start w:val="1"/>
      <w:numFmt w:val="decimal"/>
      <w:lvlText w:val="%1."/>
      <w:lvlJc w:val="left"/>
      <w:pPr>
        <w:tabs>
          <w:tab w:val="num" w:pos="1492"/>
        </w:tabs>
        <w:ind w:left="1492" w:hanging="360"/>
      </w:pPr>
    </w:lvl>
  </w:abstractNum>
  <w:abstractNum w:abstractNumId="1">
    <w:nsid w:val="FFFFFF7D"/>
    <w:multiLevelType w:val="singleLevel"/>
    <w:tmpl w:val="BF9E8934"/>
    <w:lvl w:ilvl="0">
      <w:start w:val="1"/>
      <w:numFmt w:val="decimal"/>
      <w:lvlText w:val="%1."/>
      <w:lvlJc w:val="left"/>
      <w:pPr>
        <w:tabs>
          <w:tab w:val="num" w:pos="1209"/>
        </w:tabs>
        <w:ind w:left="1209" w:hanging="360"/>
      </w:pPr>
    </w:lvl>
  </w:abstractNum>
  <w:abstractNum w:abstractNumId="2">
    <w:nsid w:val="FFFFFF7E"/>
    <w:multiLevelType w:val="singleLevel"/>
    <w:tmpl w:val="BD9ECCC8"/>
    <w:lvl w:ilvl="0">
      <w:start w:val="1"/>
      <w:numFmt w:val="decimal"/>
      <w:lvlText w:val="%1."/>
      <w:lvlJc w:val="left"/>
      <w:pPr>
        <w:tabs>
          <w:tab w:val="num" w:pos="926"/>
        </w:tabs>
        <w:ind w:left="926" w:hanging="360"/>
      </w:pPr>
    </w:lvl>
  </w:abstractNum>
  <w:abstractNum w:abstractNumId="3">
    <w:nsid w:val="FFFFFF7F"/>
    <w:multiLevelType w:val="singleLevel"/>
    <w:tmpl w:val="3F0E7812"/>
    <w:lvl w:ilvl="0">
      <w:start w:val="1"/>
      <w:numFmt w:val="decimal"/>
      <w:lvlText w:val="%1."/>
      <w:lvlJc w:val="left"/>
      <w:pPr>
        <w:tabs>
          <w:tab w:val="num" w:pos="643"/>
        </w:tabs>
        <w:ind w:left="643" w:hanging="360"/>
      </w:pPr>
    </w:lvl>
  </w:abstractNum>
  <w:abstractNum w:abstractNumId="4">
    <w:nsid w:val="FFFFFF80"/>
    <w:multiLevelType w:val="singleLevel"/>
    <w:tmpl w:val="2152C1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081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6F809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F65F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A8A6724"/>
    <w:lvl w:ilvl="0">
      <w:start w:val="1"/>
      <w:numFmt w:val="decimal"/>
      <w:lvlText w:val="%1."/>
      <w:lvlJc w:val="left"/>
      <w:pPr>
        <w:tabs>
          <w:tab w:val="num" w:pos="360"/>
        </w:tabs>
        <w:ind w:left="360" w:hanging="360"/>
      </w:pPr>
    </w:lvl>
  </w:abstractNum>
  <w:abstractNum w:abstractNumId="9">
    <w:nsid w:val="FFFFFF89"/>
    <w:multiLevelType w:val="singleLevel"/>
    <w:tmpl w:val="6BB6948C"/>
    <w:lvl w:ilvl="0">
      <w:start w:val="1"/>
      <w:numFmt w:val="bullet"/>
      <w:lvlText w:val=""/>
      <w:lvlJc w:val="left"/>
      <w:pPr>
        <w:tabs>
          <w:tab w:val="num" w:pos="360"/>
        </w:tabs>
        <w:ind w:left="360" w:hanging="360"/>
      </w:pPr>
      <w:rPr>
        <w:rFonts w:ascii="Symbol" w:hAnsi="Symbol" w:hint="default"/>
      </w:rPr>
    </w:lvl>
  </w:abstractNum>
  <w:abstractNum w:abstractNumId="10">
    <w:nsid w:val="2B286B97"/>
    <w:multiLevelType w:val="hybridMultilevel"/>
    <w:tmpl w:val="A20899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D629B0"/>
    <w:multiLevelType w:val="hybridMultilevel"/>
    <w:tmpl w:val="BCEE984C"/>
    <w:lvl w:ilvl="0">
      <w:start w:val="1"/>
      <w:numFmt w:val="bullet"/>
      <w:lvlText w:val=""/>
      <w:lvlJc w:val="left"/>
      <w:pPr>
        <w:ind w:left="775" w:hanging="360"/>
      </w:pPr>
      <w:rPr>
        <w:rFonts w:ascii="Symbol" w:hAnsi="Symbol" w:hint="default"/>
      </w:rPr>
    </w:lvl>
    <w:lvl w:ilvl="1" w:tentative="1">
      <w:start w:val="1"/>
      <w:numFmt w:val="bullet"/>
      <w:lvlText w:val="o"/>
      <w:lvlJc w:val="left"/>
      <w:pPr>
        <w:ind w:left="1495" w:hanging="360"/>
      </w:pPr>
      <w:rPr>
        <w:rFonts w:ascii="Courier New" w:hAnsi="Courier New" w:cs="Courier New" w:hint="default"/>
      </w:rPr>
    </w:lvl>
    <w:lvl w:ilvl="2" w:tentative="1">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12">
    <w:nsid w:val="7E32266D"/>
    <w:multiLevelType w:val="hybridMultilevel"/>
    <w:tmpl w:val="07DAB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54"/>
    <w:rsid w:val="000416C5"/>
    <w:rsid w:val="001A65DE"/>
    <w:rsid w:val="00243B78"/>
    <w:rsid w:val="002F3C09"/>
    <w:rsid w:val="00352854"/>
    <w:rsid w:val="003B5A2B"/>
    <w:rsid w:val="005150BE"/>
    <w:rsid w:val="00622A6E"/>
    <w:rsid w:val="00626699"/>
    <w:rsid w:val="007931D6"/>
    <w:rsid w:val="00857BEF"/>
    <w:rsid w:val="008653BD"/>
    <w:rsid w:val="0096508D"/>
    <w:rsid w:val="00A22668"/>
    <w:rsid w:val="00AD58C3"/>
    <w:rsid w:val="00B16F92"/>
    <w:rsid w:val="00B91F22"/>
    <w:rsid w:val="00C50E4A"/>
    <w:rsid w:val="00E921EF"/>
    <w:rsid w:val="00FA761C"/>
  </w:rsids>
  <m:mathPr>
    <m:mathFont m:val="Cambria Math"/>
  </m:mathPr>
  <w:themeFontLang w:val="da-DK"/>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qFormat="1"/>
    <w:lsdException w:name="toa heading"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B5A2B"/>
    <w:pPr>
      <w:spacing w:after="0" w:line="240" w:lineRule="auto"/>
    </w:pPr>
    <w:rPr>
      <w:rFonts w:ascii="Arial" w:hAnsi="Arial"/>
    </w:rPr>
  </w:style>
  <w:style w:type="paragraph" w:styleId="Heading1">
    <w:name w:val="heading 1"/>
    <w:basedOn w:val="Normal"/>
    <w:next w:val="Normal"/>
    <w:link w:val="Overskrift1Tegn"/>
    <w:uiPriority w:val="9"/>
    <w:rsid w:val="003B5A2B"/>
    <w:pPr>
      <w:keepNext/>
      <w:keepLines/>
      <w:spacing w:before="240" w:after="60"/>
      <w:outlineLvl w:val="0"/>
    </w:pPr>
    <w:rPr>
      <w:rFonts w:eastAsiaTheme="majorEastAsia" w:cstheme="majorBidi"/>
      <w:b/>
      <w:sz w:val="28"/>
      <w:szCs w:val="32"/>
    </w:rPr>
  </w:style>
  <w:style w:type="paragraph" w:styleId="Heading2">
    <w:name w:val="heading 2"/>
    <w:basedOn w:val="Normal"/>
    <w:next w:val="Normal"/>
    <w:link w:val="Overskrift2Tegn"/>
    <w:uiPriority w:val="9"/>
    <w:unhideWhenUsed/>
    <w:rsid w:val="003B5A2B"/>
    <w:pPr>
      <w:keepNext/>
      <w:keepLines/>
      <w:spacing w:before="120" w:after="60"/>
      <w:outlineLvl w:val="1"/>
    </w:pPr>
    <w:rPr>
      <w:rFonts w:eastAsiaTheme="majorEastAsia" w:cstheme="majorBidi"/>
      <w:b/>
      <w:szCs w:val="26"/>
    </w:rPr>
  </w:style>
  <w:style w:type="paragraph" w:styleId="Heading3">
    <w:name w:val="heading 3"/>
    <w:basedOn w:val="Normal"/>
    <w:next w:val="Normal"/>
    <w:link w:val="Overskrift3Tegn"/>
    <w:uiPriority w:val="9"/>
    <w:unhideWhenUsed/>
    <w:rsid w:val="00C50E4A"/>
    <w:pPr>
      <w:keepNext/>
      <w:keepLines/>
      <w:outlineLvl w:val="2"/>
    </w:pPr>
    <w:rPr>
      <w:rFonts w:eastAsiaTheme="majorEastAsia" w:cstheme="majorBidi"/>
      <w:b/>
      <w:szCs w:val="24"/>
    </w:rPr>
  </w:style>
  <w:style w:type="paragraph" w:styleId="Heading4">
    <w:name w:val="heading 4"/>
    <w:basedOn w:val="Normal"/>
    <w:next w:val="Normal"/>
    <w:link w:val="Overskrift4Tegn"/>
    <w:uiPriority w:val="9"/>
    <w:unhideWhenUsed/>
    <w:rsid w:val="002F3C0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idehovedTegn"/>
    <w:uiPriority w:val="99"/>
    <w:unhideWhenUsed/>
    <w:rsid w:val="008653BD"/>
    <w:pPr>
      <w:tabs>
        <w:tab w:val="center" w:pos="4819"/>
        <w:tab w:val="right" w:pos="9638"/>
      </w:tabs>
    </w:pPr>
  </w:style>
  <w:style w:type="character" w:customStyle="1" w:styleId="SidehovedTegn">
    <w:name w:val="Sidehoved Tegn"/>
    <w:basedOn w:val="DefaultParagraphFont"/>
    <w:link w:val="Header"/>
    <w:uiPriority w:val="99"/>
    <w:rsid w:val="008653BD"/>
  </w:style>
  <w:style w:type="paragraph" w:styleId="Footer">
    <w:name w:val="footer"/>
    <w:basedOn w:val="Normal"/>
    <w:link w:val="SidefodTegn"/>
    <w:uiPriority w:val="99"/>
    <w:unhideWhenUsed/>
    <w:rsid w:val="008653BD"/>
    <w:pPr>
      <w:tabs>
        <w:tab w:val="center" w:pos="4819"/>
        <w:tab w:val="right" w:pos="9638"/>
      </w:tabs>
    </w:pPr>
  </w:style>
  <w:style w:type="character" w:customStyle="1" w:styleId="SidefodTegn">
    <w:name w:val="Sidefod Tegn"/>
    <w:basedOn w:val="DefaultParagraphFont"/>
    <w:link w:val="Footer"/>
    <w:uiPriority w:val="99"/>
    <w:rsid w:val="008653BD"/>
  </w:style>
  <w:style w:type="character" w:customStyle="1" w:styleId="Overskrift1Tegn">
    <w:name w:val="Overskrift 1 Tegn"/>
    <w:basedOn w:val="DefaultParagraphFont"/>
    <w:link w:val="Heading1"/>
    <w:uiPriority w:val="9"/>
    <w:rsid w:val="003B5A2B"/>
    <w:rPr>
      <w:rFonts w:ascii="Arial" w:hAnsi="Arial" w:eastAsiaTheme="majorEastAsia" w:cstheme="majorBidi"/>
      <w:b/>
      <w:sz w:val="28"/>
      <w:szCs w:val="32"/>
    </w:rPr>
  </w:style>
  <w:style w:type="character" w:customStyle="1" w:styleId="Overskrift2Tegn">
    <w:name w:val="Overskrift 2 Tegn"/>
    <w:basedOn w:val="DefaultParagraphFont"/>
    <w:link w:val="Heading2"/>
    <w:uiPriority w:val="9"/>
    <w:rsid w:val="003B5A2B"/>
    <w:rPr>
      <w:rFonts w:ascii="Arial" w:hAnsi="Arial" w:eastAsiaTheme="majorEastAsia" w:cstheme="majorBidi"/>
      <w:b/>
      <w:szCs w:val="26"/>
    </w:rPr>
  </w:style>
  <w:style w:type="character" w:customStyle="1" w:styleId="Overskrift3Tegn">
    <w:name w:val="Overskrift 3 Tegn"/>
    <w:basedOn w:val="DefaultParagraphFont"/>
    <w:link w:val="Heading3"/>
    <w:uiPriority w:val="9"/>
    <w:rsid w:val="00C50E4A"/>
    <w:rPr>
      <w:rFonts w:ascii="Arial" w:hAnsi="Arial" w:eastAsiaTheme="majorEastAsia" w:cstheme="majorBidi"/>
      <w:b/>
      <w:szCs w:val="24"/>
    </w:rPr>
  </w:style>
  <w:style w:type="paragraph" w:styleId="NoSpacing">
    <w:name w:val="No Spacing"/>
    <w:uiPriority w:val="1"/>
    <w:rsid w:val="002F3C09"/>
    <w:pPr>
      <w:spacing w:after="0" w:line="240" w:lineRule="auto"/>
    </w:pPr>
    <w:rPr>
      <w:rFonts w:ascii="Verdana" w:hAnsi="Verdana"/>
      <w:sz w:val="20"/>
    </w:rPr>
  </w:style>
  <w:style w:type="character" w:customStyle="1" w:styleId="Overskrift4Tegn">
    <w:name w:val="Overskrift 4 Tegn"/>
    <w:basedOn w:val="DefaultParagraphFont"/>
    <w:link w:val="Heading4"/>
    <w:uiPriority w:val="9"/>
    <w:rsid w:val="002F3C09"/>
    <w:rPr>
      <w:rFonts w:asciiTheme="majorHAnsi" w:eastAsiaTheme="majorEastAsia" w:hAnsiTheme="majorHAnsi" w:cstheme="majorBidi"/>
      <w:i/>
      <w:iCs/>
      <w:color w:val="2E74B5" w:themeColor="accent1" w:themeShade="BF"/>
      <w:sz w:val="20"/>
    </w:rPr>
  </w:style>
  <w:style w:type="paragraph" w:styleId="Title">
    <w:name w:val="Title"/>
    <w:basedOn w:val="Normal"/>
    <w:next w:val="Normal"/>
    <w:link w:val="TitelTegn"/>
    <w:uiPriority w:val="10"/>
    <w:rsid w:val="002F3C09"/>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DefaultParagraphFont"/>
    <w:link w:val="Title"/>
    <w:uiPriority w:val="10"/>
    <w:rsid w:val="002F3C09"/>
    <w:rPr>
      <w:rFonts w:asciiTheme="majorHAnsi" w:eastAsiaTheme="majorEastAsia" w:hAnsiTheme="majorHAnsi" w:cstheme="majorBidi"/>
      <w:spacing w:val="-10"/>
      <w:kern w:val="28"/>
      <w:sz w:val="56"/>
      <w:szCs w:val="56"/>
    </w:rPr>
  </w:style>
  <w:style w:type="paragraph" w:styleId="Subtitle">
    <w:name w:val="Subtitle"/>
    <w:basedOn w:val="Normal"/>
    <w:next w:val="Normal"/>
    <w:link w:val="UndertitelTegn"/>
    <w:uiPriority w:val="11"/>
    <w:rsid w:val="002F3C09"/>
    <w:pPr>
      <w:numPr>
        <w:ilvl w:val="1"/>
      </w:numPr>
      <w:spacing w:after="160"/>
    </w:pPr>
    <w:rPr>
      <w:rFonts w:asciiTheme="minorHAnsi" w:eastAsiaTheme="minorEastAsia" w:hAnsiTheme="minorHAnsi"/>
      <w:color w:val="5A5A5A" w:themeColor="text1" w:themeTint="A5"/>
      <w:spacing w:val="15"/>
    </w:rPr>
  </w:style>
  <w:style w:type="character" w:customStyle="1" w:styleId="UndertitelTegn">
    <w:name w:val="Undertitel Tegn"/>
    <w:basedOn w:val="DefaultParagraphFont"/>
    <w:link w:val="Subtitle"/>
    <w:uiPriority w:val="11"/>
    <w:rsid w:val="002F3C09"/>
    <w:rPr>
      <w:rFonts w:eastAsiaTheme="minorEastAsia"/>
      <w:color w:val="5A5A5A" w:themeColor="text1" w:themeTint="A5"/>
      <w:spacing w:val="15"/>
    </w:rPr>
  </w:style>
  <w:style w:type="character" w:styleId="SubtleEmphasis">
    <w:name w:val="Subtle Emphasis"/>
    <w:basedOn w:val="DefaultParagraphFont"/>
    <w:uiPriority w:val="19"/>
    <w:rsid w:val="002F3C09"/>
    <w:rPr>
      <w:i/>
      <w:iCs/>
      <w:color w:val="404040" w:themeColor="text1" w:themeTint="BF"/>
    </w:rPr>
  </w:style>
  <w:style w:type="character" w:styleId="Emphasis">
    <w:name w:val="Emphasis"/>
    <w:basedOn w:val="DefaultParagraphFont"/>
    <w:uiPriority w:val="20"/>
    <w:rsid w:val="002F3C09"/>
    <w:rPr>
      <w:i/>
      <w:iCs/>
    </w:rPr>
  </w:style>
  <w:style w:type="character" w:styleId="IntenseEmphasis">
    <w:name w:val="Intense Emphasis"/>
    <w:basedOn w:val="DefaultParagraphFont"/>
    <w:uiPriority w:val="21"/>
    <w:rsid w:val="002F3C09"/>
    <w:rPr>
      <w:i/>
      <w:iCs/>
      <w:color w:val="5B9BD5" w:themeColor="accent1"/>
    </w:rPr>
  </w:style>
  <w:style w:type="character" w:styleId="Strong">
    <w:name w:val="Strong"/>
    <w:basedOn w:val="DefaultParagraphFont"/>
    <w:uiPriority w:val="22"/>
    <w:rsid w:val="002F3C09"/>
    <w:rPr>
      <w:b/>
      <w:bCs/>
    </w:rPr>
  </w:style>
  <w:style w:type="paragraph" w:styleId="Quote">
    <w:name w:val="Quote"/>
    <w:basedOn w:val="Normal"/>
    <w:next w:val="Normal"/>
    <w:link w:val="CitatTegn"/>
    <w:uiPriority w:val="29"/>
    <w:rsid w:val="002F3C09"/>
    <w:pPr>
      <w:spacing w:before="200" w:after="160"/>
      <w:ind w:left="864" w:right="864"/>
      <w:jc w:val="center"/>
    </w:pPr>
    <w:rPr>
      <w:i/>
      <w:iCs/>
      <w:color w:val="404040" w:themeColor="text1" w:themeTint="BF"/>
    </w:rPr>
  </w:style>
  <w:style w:type="character" w:customStyle="1" w:styleId="CitatTegn">
    <w:name w:val="Citat Tegn"/>
    <w:basedOn w:val="DefaultParagraphFont"/>
    <w:link w:val="Quote"/>
    <w:uiPriority w:val="29"/>
    <w:rsid w:val="002F3C09"/>
    <w:rPr>
      <w:rFonts w:ascii="Verdana" w:hAnsi="Verdana"/>
      <w:i/>
      <w:iCs/>
      <w:color w:val="404040" w:themeColor="text1" w:themeTint="BF"/>
      <w:sz w:val="20"/>
    </w:rPr>
  </w:style>
  <w:style w:type="paragraph" w:styleId="IntenseQuote">
    <w:name w:val="Intense Quote"/>
    <w:basedOn w:val="Normal"/>
    <w:next w:val="Normal"/>
    <w:link w:val="StrktcitatTegn"/>
    <w:uiPriority w:val="30"/>
    <w:rsid w:val="002F3C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DefaultParagraphFont"/>
    <w:link w:val="IntenseQuote"/>
    <w:uiPriority w:val="30"/>
    <w:rsid w:val="002F3C09"/>
    <w:rPr>
      <w:rFonts w:ascii="Verdana" w:hAnsi="Verdana"/>
      <w:i/>
      <w:iCs/>
      <w:color w:val="5B9BD5" w:themeColor="accent1"/>
      <w:sz w:val="20"/>
    </w:rPr>
  </w:style>
  <w:style w:type="character" w:styleId="SubtleReference">
    <w:name w:val="Subtle Reference"/>
    <w:basedOn w:val="DefaultParagraphFont"/>
    <w:uiPriority w:val="31"/>
    <w:rsid w:val="002F3C09"/>
    <w:rPr>
      <w:smallCaps/>
      <w:color w:val="5A5A5A" w:themeColor="text1" w:themeTint="A5"/>
    </w:rPr>
  </w:style>
  <w:style w:type="character" w:styleId="IntenseReference">
    <w:name w:val="Intense Reference"/>
    <w:basedOn w:val="DefaultParagraphFont"/>
    <w:uiPriority w:val="32"/>
    <w:rsid w:val="002F3C09"/>
    <w:rPr>
      <w:b/>
      <w:bCs/>
      <w:smallCaps/>
      <w:color w:val="5B9BD5" w:themeColor="accent1"/>
      <w:spacing w:val="5"/>
    </w:rPr>
  </w:style>
  <w:style w:type="paragraph" w:styleId="ListParagraph">
    <w:name w:val="List Paragraph"/>
    <w:basedOn w:val="Normal"/>
    <w:uiPriority w:val="34"/>
    <w:rsid w:val="002F3C09"/>
    <w:pPr>
      <w:ind w:left="720"/>
      <w:contextualSpacing/>
    </w:pPr>
  </w:style>
  <w:style w:type="paragraph" w:styleId="NormalWeb">
    <w:name w:val="Normal (Web)"/>
    <w:basedOn w:val="Normal"/>
    <w:uiPriority w:val="99"/>
    <w:semiHidden/>
    <w:unhideWhenUsed/>
    <w:rsid w:val="003B5A2B"/>
    <w:rPr>
      <w:rFonts w:cs="Times New Roman"/>
      <w:szCs w:val="24"/>
    </w:rPr>
  </w:style>
  <w:style w:type="paragraph" w:styleId="TableofAuthorities">
    <w:name w:val="table of authorities"/>
    <w:aliases w:val="Centreret"/>
    <w:basedOn w:val="Normal"/>
    <w:next w:val="Normal"/>
    <w:uiPriority w:val="99"/>
    <w:unhideWhenUsed/>
    <w:qFormat/>
    <w:rsid w:val="00C50E4A"/>
    <w:pPr>
      <w:jc w:val="center"/>
    </w:pPr>
    <w:rPr>
      <w:lang w:val="en-US"/>
    </w:rPr>
  </w:style>
  <w:style w:type="paragraph" w:styleId="TOAHeading">
    <w:name w:val="toa heading"/>
    <w:aliases w:val="højrejustering"/>
    <w:basedOn w:val="Normal"/>
    <w:next w:val="Normal"/>
    <w:uiPriority w:val="99"/>
    <w:unhideWhenUsed/>
    <w:qFormat/>
    <w:rsid w:val="00C50E4A"/>
    <w:pPr>
      <w:jc w:val="righ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AgendaItemDocumentTemplate.dotx</Template>
  <TotalTime>49</TotalTime>
  <Pages>1</Pages>
  <Words>25</Words>
  <Characters>157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qaadmin</dc:creator>
  <cp:lastModifiedBy>Acadre-prod</cp:lastModifiedBy>
  <cp:revision>18</cp:revision>
  <dcterms:created xsi:type="dcterms:W3CDTF">2017-10-03T12:10:00Z</dcterms:created>
  <dcterms:modified xsi:type="dcterms:W3CDTF">2018-10-24T07:20:00Z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{CD3566C3-F64C-4187-AD57-7456E8DF8203}</vt:lpwstr>
  </property>
</Properties>
</file>