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B16F92" w:rsidP="005150BE">
      <w:pPr>
        <w:pStyle w:val="Heading1"/>
        <w:rPr>
          <w:lang w:val="en-US"/>
        </w:rPr>
      </w:pPr>
      <w:r w:rsidRPr="00B16F92">
        <w:rPr>
          <w:lang w:val="en-US"/>
        </w:rPr>
        <w:t>Analyse af plejeboligkapacitet</w:t>
      </w:r>
    </w:p>
    <w:p w:rsidR="007931D6" w:rsidRPr="007931D6" w:rsidP="007931D6">
      <w:pPr>
        <w:pStyle w:val="Heading3"/>
        <w:rPr>
          <w:lang w:val="en-US"/>
        </w:rPr>
      </w:pPr>
      <w:bookmarkStart w:id="0" w:name="_GoBack"/>
      <w:bookmarkEnd w:id="0"/>
      <w:r w:rsidRPr="007931D6">
        <w:rPr>
          <w:lang w:val="en-US"/>
        </w:rPr>
        <w:t>Åben</w:t>
      </w:r>
      <w:r>
        <w:rPr>
          <w:lang w:val="en-US"/>
        </w:rPr>
        <w:t xml:space="preserve"> </w:t>
      </w:r>
      <w:r>
        <w:rPr>
          <w:lang w:val="en-US"/>
        </w:rPr>
        <w:t>dagsordenpunkt</w:t>
      </w:r>
    </w:p>
    <w:p w:rsidR="00B16F92" w:rsidRPr="007931D6" w:rsidP="00C50E4A">
      <w:pPr>
        <w:pStyle w:val="Heading3"/>
        <w:rPr>
          <w:lang w:val="en-US"/>
        </w:rPr>
      </w:pPr>
      <w:r w:rsidRPr="007931D6">
        <w:rPr>
          <w:lang w:val="en-US"/>
        </w:rPr>
        <w:t>Sagsid</w:t>
      </w:r>
      <w:r w:rsidRPr="007931D6">
        <w:rPr>
          <w:lang w:val="en-US"/>
        </w:rPr>
        <w:t>:</w:t>
      </w:r>
      <w:r w:rsidRPr="007931D6">
        <w:rPr>
          <w:lang w:val="en-US"/>
        </w:rPr>
        <w:tab/>
      </w:r>
      <w:r w:rsidRPr="007931D6">
        <w:rPr>
          <w:lang w:val="en-US"/>
        </w:rPr>
        <w:tab/>
      </w:r>
      <w:r w:rsidRPr="007931D6">
        <w:rPr>
          <w:b w:val="0"/>
          <w:lang w:val="en-US"/>
        </w:rPr>
        <w:t>19/14190</w:t>
      </w:r>
    </w:p>
    <w:p w:rsidR="00B16F92" w:rsidRPr="007931D6" w:rsidP="00C50E4A">
      <w:pPr>
        <w:pStyle w:val="Heading3"/>
        <w:rPr>
          <w:lang w:val="en-US"/>
        </w:rPr>
      </w:pPr>
      <w:r w:rsidRPr="007931D6">
        <w:rPr>
          <w:lang w:val="en-US"/>
        </w:rPr>
        <w:t>Sagen</w:t>
      </w:r>
      <w:r w:rsidRPr="007931D6">
        <w:rPr>
          <w:lang w:val="en-US"/>
        </w:rPr>
        <w:t xml:space="preserve"> </w:t>
      </w:r>
      <w:r w:rsidRPr="007931D6">
        <w:rPr>
          <w:lang w:val="en-US"/>
        </w:rPr>
        <w:t>afgøres</w:t>
      </w:r>
      <w:r w:rsidRPr="007931D6">
        <w:rPr>
          <w:lang w:val="en-US"/>
        </w:rPr>
        <w:t xml:space="preserve"> i</w:t>
      </w:r>
      <w:r w:rsidRPr="007931D6">
        <w:rPr>
          <w:lang w:val="en-US"/>
        </w:rPr>
        <w:t xml:space="preserve">: </w:t>
      </w:r>
      <w:r w:rsidRPr="007931D6">
        <w:rPr>
          <w:lang w:val="en-US"/>
        </w:rPr>
        <w:tab/>
      </w:r>
      <w:r w:rsidRPr="007931D6">
        <w:rPr>
          <w:b w:val="0"/>
          <w:lang w:val="en-US"/>
        </w:rPr>
        <w:t>Byrådet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21"/>
        <w:gridCol w:w="730"/>
        <w:gridCol w:w="5644"/>
        <w:gridCol w:w="1402"/>
        <w:gridCol w:w="52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1 - 2957017</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Åben</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Bilag 1 Analyse af plejeboligbehov i Ringsted Kommune.pdf</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(116157/20)</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(H)</w:t>
            </w:r>
          </w:p>
        </w:tc>
      </w:tr>
    </w:tbl>
    <w:p w:rsidR="00C50E4A" w:rsidRPr="007931D6" w:rsidP="00C50E4A">
      <w:pPr>
        <w:rPr>
          <w:lang w:val="en-US"/>
        </w:rPr>
      </w:pPr>
    </w:p>
    <w:p>
      <w:pPr>
        <w:pStyle w:val="Heading2"/>
      </w:pPr>
      <w:r>
        <w:t>Indledning</w:t>
      </w:r>
      <w:bookmarkStart w:id="1" w:name="DocPart322820"/>
    </w:p>
    <w:p>
      <w:pPr>
        <w:pBdr>
          <w:top w:val="nil"/>
          <w:left w:val="nil"/>
          <w:bottom w:val="nil"/>
          <w:right w:val="nil"/>
          <w:between w:val="nil"/>
          <w:bar w:val="nil"/>
        </w:pBdr>
        <w:rPr>
          <w:b/>
          <w:i w:val="0"/>
          <w:u w:val="none"/>
          <w:vertAlign w:val="baseline"/>
        </w:rPr>
      </w:pPr>
      <w:r>
        <w:rPr>
          <w:b/>
          <w:i w:val="0"/>
          <w:u w:val="none"/>
          <w:vertAlign w:val="baseline"/>
        </w:rPr>
        <w:t xml:space="preserve">Sagsgang: </w:t>
      </w:r>
    </w:p>
    <w:tbl>
      <w:tblPr>
        <w:tblStyle w:val="TableNormal"/>
        <w:tblW w:w="5000" w:type="pct"/>
        <w:tblCellMar>
          <w:left w:w="0" w:type="dxa"/>
          <w:right w:w="0" w:type="dxa"/>
        </w:tblCellMar>
        <w:tblLook w:val="04A0"/>
      </w:tblPr>
      <w:tblGrid>
        <w:gridCol w:w="2020"/>
        <w:gridCol w:w="957"/>
        <w:gridCol w:w="957"/>
        <w:gridCol w:w="957"/>
        <w:gridCol w:w="957"/>
        <w:gridCol w:w="957"/>
        <w:gridCol w:w="957"/>
        <w:gridCol w:w="958"/>
        <w:gridCol w:w="958"/>
      </w:tblGrid>
      <w:tr w:rsidTr="0021235E">
        <w:tblPrEx>
          <w:tblW w:w="5000" w:type="pct"/>
          <w:tblCellMar>
            <w:left w:w="0" w:type="dxa"/>
            <w:right w:w="0" w:type="dxa"/>
          </w:tblCellMar>
          <w:tblLook w:val="04A0"/>
        </w:tblPrEx>
        <w:trPr>
          <w:cantSplit/>
        </w:trPr>
        <w:tc>
          <w:tcPr>
            <w:tcW w:w="950" w:type="pct"/>
            <w:tcBorders>
              <w:top w:val="outset" w:sz="8" w:space="0" w:color="111111"/>
              <w:left w:val="outset" w:sz="8" w:space="0" w:color="111111"/>
              <w:bottom w:val="outset" w:sz="8" w:space="0" w:color="111111"/>
              <w:right w:val="outset" w:sz="8" w:space="0" w:color="111111"/>
            </w:tcBorders>
            <w:tcMar>
              <w:top w:w="20" w:type="dxa"/>
              <w:left w:w="20"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 xml:space="preserve">  </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BY</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ØK</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ÆGU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PBU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KMU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BUU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KFU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SAMU</w:t>
            </w:r>
          </w:p>
        </w:tc>
      </w:tr>
      <w:tr w:rsidTr="0021235E">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Orientering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r w:rsidTr="0021235E">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Indstilling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r w:rsidTr="0021235E">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Beslutning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bl>
    <w:p>
      <w:pPr>
        <w:pBdr>
          <w:top w:val="nil"/>
          <w:left w:val="nil"/>
          <w:bottom w:val="nil"/>
          <w:right w:val="nil"/>
          <w:between w:val="nil"/>
          <w:bar w:val="nil"/>
        </w:pBdr>
        <w:rPr>
          <w:b w:val="0"/>
          <w:i w:val="0"/>
          <w:u w:val="none"/>
          <w:vertAlign w:val="baseline"/>
        </w:rPr>
      </w:pPr>
      <w:r>
        <w:rPr>
          <w:b w:val="0"/>
          <w:i w:val="0"/>
          <w:u w:val="none"/>
          <w:vertAlign w:val="baseline"/>
        </w:rPr>
        <w:t xml:space="preserve">BY=Byråd, ØK=Økonomiudvalg, </w:t>
      </w:r>
      <w:r>
        <w:rPr>
          <w:b w:val="0"/>
          <w:i w:val="0"/>
          <w:u w:val="none"/>
          <w:vertAlign w:val="baseline"/>
        </w:rPr>
        <w:t>ÆGU=Ældre- og Genoptræningsudvalg, PBU=Plan- og Boligudvalg, KMU=Klima- og Miljøudvalg, BUU=Børne- og Undervisningsudvalg, KFU=Kultur- og Fritidsudvalg, SAMU=Social- og Arbejdsmarkedsudvalg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denne sag præsenteres en analyse (</w:t>
      </w:r>
      <w:r>
        <w:rPr>
          <w:b/>
          <w:i w:val="0"/>
          <w:u w:val="none"/>
          <w:vertAlign w:val="baseline"/>
        </w:rPr>
        <w:t>bilag 1</w:t>
      </w:r>
      <w:r>
        <w:rPr>
          <w:b w:val="0"/>
          <w:i w:val="0"/>
          <w:u w:val="none"/>
          <w:vertAlign w:val="baseline"/>
        </w:rPr>
        <w:t>) af det fremtidige be</w:t>
      </w:r>
      <w:r>
        <w:rPr>
          <w:b w:val="0"/>
          <w:i w:val="0"/>
          <w:u w:val="none"/>
          <w:vertAlign w:val="baseline"/>
        </w:rPr>
        <w:t xml:space="preserve">hov for plejeboliger i Ringsted Kommune, herunder fire forskellige beregninger (scenarier) for det fremtidige behov for plejeboliger.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Der skal tages stilling til, hvilket scenarie der skal være udgangspunkt for det videre arbejde.</w:t>
      </w:r>
    </w:p>
    <w:p>
      <w:pPr>
        <w:pStyle w:val="Heading2"/>
      </w:pPr>
      <w:bookmarkEnd w:id="1"/>
      <w:r>
        <w:t>Beskrivelse af sagen</w:t>
      </w:r>
      <w:bookmarkStart w:id="2" w:name="DocPart322821"/>
    </w:p>
    <w:p>
      <w:pPr>
        <w:pBdr>
          <w:top w:val="nil"/>
          <w:left w:val="nil"/>
          <w:bottom w:val="nil"/>
          <w:right w:val="nil"/>
          <w:between w:val="nil"/>
          <w:bar w:val="nil"/>
        </w:pBdr>
        <w:rPr>
          <w:b w:val="0"/>
          <w:i w:val="0"/>
          <w:u w:val="none"/>
          <w:vertAlign w:val="baseline"/>
        </w:rPr>
      </w:pPr>
      <w:r>
        <w:rPr>
          <w:b w:val="0"/>
          <w:i w:val="0"/>
          <w:u w:val="none"/>
          <w:vertAlign w:val="baseline"/>
        </w:rPr>
        <w:t>P</w:t>
      </w:r>
      <w:r>
        <w:rPr>
          <w:b w:val="0"/>
          <w:i w:val="0"/>
          <w:u w:val="none"/>
          <w:vertAlign w:val="baseline"/>
        </w:rPr>
        <w:t xml:space="preserve">å mødet den 3. februar 2020 godkendte Byrådet en tids- og procesplan for udbygning af plejeboligkapaciteten i Ringsted Kommune. Det fremgår af tidsplanen, at: </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Februar – juni 2020: Der gennemføres en analyse af plejeboligbehovet.</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August 2020: Analysen og r</w:t>
      </w:r>
      <w:r>
        <w:rPr>
          <w:b w:val="0"/>
          <w:i w:val="0"/>
          <w:u w:val="none"/>
          <w:vertAlign w:val="baseline"/>
        </w:rPr>
        <w:t>esultatet af borgerinddragelse fremlægges politisk</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September 2020: Der udarbejdes en tids- og procesplan for det videre arbejde herunder for konkret udbygning af kapaciteten med udgangspunkt i Byrådets beslutning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Borgermødet skulle have været i maj 2020, </w:t>
      </w:r>
      <w:r>
        <w:rPr>
          <w:b w:val="0"/>
          <w:i w:val="0"/>
          <w:u w:val="none"/>
          <w:vertAlign w:val="baseline"/>
        </w:rPr>
        <w:t>men på Byrådets møde den 8. juni 2020 blev det, på grund af COVID-19 besluttet, at flytte borgermødet til det er sikkert at holde det med fysisk fremmøde. Resultatet af borgerinddragelsen indgår derfor ikke i denne sag.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I perioden marts til juni 2020 har </w:t>
      </w:r>
      <w:r>
        <w:rPr>
          <w:b w:val="0"/>
          <w:i w:val="0"/>
          <w:u w:val="none"/>
          <w:vertAlign w:val="baseline"/>
        </w:rPr>
        <w:t>COWI gennemført en analyse af de forhold, der kan have betydning for kapacitetsbehovet. Analysen er bygget op om følgende temaer:</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Tendenser inden for aldring</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 xml:space="preserve">Beskrivelse af de eksisterende udbud af plejeboliger, ældreboliger, midlertidige pladser og </w:t>
      </w:r>
      <w:r>
        <w:rPr>
          <w:b w:val="0"/>
          <w:i w:val="0"/>
          <w:u w:val="none"/>
          <w:vertAlign w:val="baseline"/>
        </w:rPr>
        <w:t>aflastningspladser</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Kvantitativ analyse af udviklingen i den ældre befolkning og plejebehovet i Ringsted Kommune og af hjemmeplejens rolle</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Fremskrivning af plejeboligbehov</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Den gode plejebolig</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Beskrivelse og analyse af finansiering og drift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analysens kapi</w:t>
      </w:r>
      <w:r>
        <w:rPr>
          <w:b w:val="0"/>
          <w:i w:val="0"/>
          <w:u w:val="none"/>
          <w:vertAlign w:val="baseline"/>
        </w:rPr>
        <w:t xml:space="preserve">tel 5 har COWI lavet en fremskrivning af det fremtidige behov for plejeboliger med udgangspunkt i fire forskellige scenarier. Scenarierne tager udgangspunkt i, hvor mange der har </w:t>
      </w:r>
      <w:r>
        <w:rPr>
          <w:b w:val="0"/>
          <w:i w:val="0"/>
          <w:u w:val="none"/>
          <w:vertAlign w:val="baseline"/>
        </w:rPr>
        <w:t xml:space="preserve">behov for plejebolig i hver af aldersgrupperne: 0-59 år, 60-74 år, 75-79 år, </w:t>
      </w:r>
      <w:r>
        <w:rPr>
          <w:b w:val="0"/>
          <w:i w:val="0"/>
          <w:u w:val="none"/>
          <w:vertAlign w:val="baseline"/>
        </w:rPr>
        <w:t xml:space="preserve">80-84 år, 85-89 år og 90+ år.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Tabel 1 viser det forventede antal personer i hver aldersgruppe i 2020, 2030 og 2040.</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Tabel 1</w:t>
      </w:r>
    </w:p>
    <w:tbl>
      <w:tblPr>
        <w:tblStyle w:val="TableGrid"/>
        <w:tblW w:w="5000" w:type="pct"/>
        <w:tblLook w:val="04A0"/>
      </w:tblPr>
      <w:tblGrid>
        <w:gridCol w:w="3306"/>
        <w:gridCol w:w="2696"/>
        <w:gridCol w:w="1927"/>
        <w:gridCol w:w="1925"/>
      </w:tblGrid>
      <w:tr w:rsidTr="008D5539">
        <w:tblPrEx>
          <w:tblW w:w="5000" w:type="pct"/>
          <w:tblLook w:val="04A0"/>
        </w:tblPrEx>
        <w:trPr>
          <w:trHeight w:val="597"/>
        </w:trPr>
        <w:tc>
          <w:tcPr>
            <w:tcW w:w="1677" w:type="pct"/>
            <w:tcBorders>
              <w:top w:val="single" w:sz="4" w:space="0" w:color="auto"/>
              <w:left w:val="single" w:sz="4" w:space="0" w:color="auto"/>
              <w:bottom w:val="single" w:sz="4" w:space="0" w:color="auto"/>
              <w:right w:val="single" w:sz="4" w:space="0" w:color="auto"/>
            </w:tcBorders>
            <w:shd w:val="clear" w:color="auto" w:fill="BFBFBF"/>
            <w:vAlign w:val="center"/>
          </w:tcPr>
          <w:p>
            <w:pPr>
              <w:pBdr>
                <w:top w:val="nil"/>
                <w:left w:val="nil"/>
                <w:bottom w:val="nil"/>
                <w:right w:val="nil"/>
                <w:between w:val="nil"/>
                <w:bar w:val="nil"/>
              </w:pBdr>
              <w:rPr>
                <w:b w:val="0"/>
                <w:i w:val="0"/>
                <w:u w:val="none"/>
                <w:vertAlign w:val="baseline"/>
              </w:rPr>
            </w:pPr>
          </w:p>
        </w:tc>
        <w:tc>
          <w:tcPr>
            <w:tcW w:w="3323"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pPr>
              <w:pBdr>
                <w:top w:val="nil"/>
                <w:left w:val="nil"/>
                <w:bottom w:val="nil"/>
                <w:right w:val="nil"/>
                <w:between w:val="nil"/>
                <w:bar w:val="nil"/>
              </w:pBdr>
              <w:rPr>
                <w:b w:val="0"/>
                <w:i w:val="0"/>
                <w:u w:val="none"/>
                <w:vertAlign w:val="baseline"/>
              </w:rPr>
            </w:pPr>
            <w:r>
              <w:rPr>
                <w:b w:val="0"/>
                <w:i w:val="0"/>
                <w:u w:val="none"/>
                <w:vertAlign w:val="baseline"/>
              </w:rPr>
              <w:t>Befolkningstal</w:t>
            </w:r>
          </w:p>
        </w:tc>
      </w:tr>
      <w:tr w:rsidTr="008D5539">
        <w:tblPrEx>
          <w:tblW w:w="5000" w:type="pct"/>
          <w:tblLook w:val="04A0"/>
        </w:tblPrEx>
        <w:trPr>
          <w:trHeight w:val="421"/>
        </w:trPr>
        <w:tc>
          <w:tcPr>
            <w:tcW w:w="1677" w:type="pct"/>
            <w:tcBorders>
              <w:top w:val="single" w:sz="4" w:space="0" w:color="auto"/>
              <w:left w:val="single" w:sz="4" w:space="0" w:color="auto"/>
              <w:bottom w:val="single" w:sz="4" w:space="0" w:color="auto"/>
              <w:right w:val="single" w:sz="4" w:space="0" w:color="auto"/>
            </w:tcBorders>
            <w:shd w:val="clear" w:color="auto" w:fill="BFBFBF"/>
            <w:vAlign w:val="center"/>
          </w:tcPr>
          <w:p>
            <w:pPr>
              <w:pBdr>
                <w:top w:val="nil"/>
                <w:left w:val="nil"/>
                <w:bottom w:val="nil"/>
                <w:right w:val="nil"/>
                <w:between w:val="nil"/>
                <w:bar w:val="nil"/>
              </w:pBdr>
              <w:rPr>
                <w:b w:val="0"/>
                <w:i w:val="0"/>
                <w:u w:val="none"/>
                <w:vertAlign w:val="baseline"/>
              </w:rPr>
            </w:pPr>
          </w:p>
        </w:tc>
        <w:tc>
          <w:tcPr>
            <w:tcW w:w="1368" w:type="pct"/>
            <w:tcBorders>
              <w:top w:val="single" w:sz="4" w:space="0" w:color="auto"/>
              <w:left w:val="single" w:sz="4" w:space="0" w:color="auto"/>
              <w:bottom w:val="single" w:sz="4" w:space="0" w:color="auto"/>
              <w:right w:val="single" w:sz="4" w:space="0" w:color="auto"/>
            </w:tcBorders>
            <w:shd w:val="clear" w:color="auto" w:fill="D9D9D9"/>
            <w:vAlign w:val="center"/>
          </w:tcPr>
          <w:p>
            <w:pPr>
              <w:pBdr>
                <w:top w:val="nil"/>
                <w:left w:val="nil"/>
                <w:bottom w:val="nil"/>
                <w:right w:val="nil"/>
                <w:between w:val="nil"/>
                <w:bar w:val="nil"/>
              </w:pBdr>
              <w:rPr>
                <w:b w:val="0"/>
                <w:i w:val="0"/>
                <w:u w:val="none"/>
                <w:vertAlign w:val="baseline"/>
              </w:rPr>
            </w:pPr>
            <w:r>
              <w:rPr>
                <w:b w:val="0"/>
                <w:i w:val="0"/>
                <w:u w:val="none"/>
                <w:vertAlign w:val="baseline"/>
              </w:rPr>
              <w:t>2020</w:t>
            </w:r>
          </w:p>
        </w:tc>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pPr>
              <w:pBdr>
                <w:top w:val="nil"/>
                <w:left w:val="nil"/>
                <w:bottom w:val="nil"/>
                <w:right w:val="nil"/>
                <w:between w:val="nil"/>
                <w:bar w:val="nil"/>
              </w:pBdr>
              <w:rPr>
                <w:b w:val="0"/>
                <w:i w:val="0"/>
                <w:u w:val="none"/>
                <w:vertAlign w:val="baseline"/>
              </w:rPr>
            </w:pPr>
            <w:r>
              <w:rPr>
                <w:b w:val="0"/>
                <w:i w:val="0"/>
                <w:u w:val="none"/>
                <w:vertAlign w:val="baseline"/>
              </w:rPr>
              <w:t>2030</w:t>
            </w:r>
          </w:p>
        </w:tc>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pPr>
              <w:pBdr>
                <w:top w:val="nil"/>
                <w:left w:val="nil"/>
                <w:bottom w:val="nil"/>
                <w:right w:val="nil"/>
                <w:between w:val="nil"/>
                <w:bar w:val="nil"/>
              </w:pBdr>
              <w:rPr>
                <w:b w:val="0"/>
                <w:i w:val="0"/>
                <w:u w:val="none"/>
                <w:vertAlign w:val="baseline"/>
              </w:rPr>
            </w:pPr>
            <w:r>
              <w:rPr>
                <w:b w:val="0"/>
                <w:i w:val="0"/>
                <w:u w:val="none"/>
                <w:vertAlign w:val="baseline"/>
              </w:rPr>
              <w:t>2040</w:t>
            </w:r>
          </w:p>
        </w:tc>
      </w:tr>
      <w:tr w:rsidTr="008D5539">
        <w:tblPrEx>
          <w:tblW w:w="5000" w:type="pct"/>
          <w:tblLook w:val="04A0"/>
        </w:tblPrEx>
        <w:trPr>
          <w:trHeight w:val="120"/>
        </w:trPr>
        <w:tc>
          <w:tcPr>
            <w:tcW w:w="1677" w:type="pct"/>
            <w:tcBorders>
              <w:top w:val="single" w:sz="4" w:space="0" w:color="auto"/>
            </w:tcBorders>
          </w:tcPr>
          <w:p>
            <w:pPr>
              <w:pBdr>
                <w:top w:val="nil"/>
                <w:left w:val="nil"/>
                <w:bottom w:val="nil"/>
                <w:right w:val="nil"/>
                <w:between w:val="nil"/>
                <w:bar w:val="nil"/>
              </w:pBdr>
              <w:rPr>
                <w:b w:val="0"/>
                <w:i w:val="0"/>
                <w:u w:val="none"/>
                <w:vertAlign w:val="baseline"/>
              </w:rPr>
            </w:pPr>
            <w:r>
              <w:rPr>
                <w:b w:val="0"/>
                <w:i w:val="0"/>
                <w:u w:val="none"/>
                <w:vertAlign w:val="baseline"/>
              </w:rPr>
              <w:t>0-59 år</w:t>
            </w:r>
          </w:p>
        </w:tc>
        <w:tc>
          <w:tcPr>
            <w:tcW w:w="1368" w:type="pct"/>
            <w:tcBorders>
              <w:top w:val="single" w:sz="4" w:space="0" w:color="auto"/>
            </w:tcBorders>
          </w:tcPr>
          <w:p>
            <w:pPr>
              <w:pBdr>
                <w:top w:val="nil"/>
                <w:left w:val="nil"/>
                <w:bottom w:val="nil"/>
                <w:right w:val="nil"/>
                <w:between w:val="nil"/>
                <w:bar w:val="nil"/>
              </w:pBdr>
              <w:rPr>
                <w:b w:val="0"/>
                <w:i w:val="0"/>
                <w:u w:val="none"/>
                <w:vertAlign w:val="baseline"/>
              </w:rPr>
            </w:pPr>
            <w:r>
              <w:rPr>
                <w:b w:val="0"/>
                <w:i w:val="0"/>
                <w:u w:val="none"/>
                <w:vertAlign w:val="baseline"/>
              </w:rPr>
              <w:t>26.380</w:t>
            </w:r>
          </w:p>
        </w:tc>
        <w:tc>
          <w:tcPr>
            <w:tcW w:w="978" w:type="pct"/>
            <w:tcBorders>
              <w:top w:val="single" w:sz="4" w:space="0" w:color="auto"/>
            </w:tcBorders>
          </w:tcPr>
          <w:p>
            <w:pPr>
              <w:pBdr>
                <w:top w:val="nil"/>
                <w:left w:val="nil"/>
                <w:bottom w:val="nil"/>
                <w:right w:val="nil"/>
                <w:between w:val="nil"/>
                <w:bar w:val="nil"/>
              </w:pBdr>
              <w:rPr>
                <w:b w:val="0"/>
                <w:i w:val="0"/>
                <w:u w:val="none"/>
                <w:vertAlign w:val="baseline"/>
              </w:rPr>
            </w:pPr>
            <w:r>
              <w:rPr>
                <w:b w:val="0"/>
                <w:i w:val="0"/>
                <w:u w:val="none"/>
                <w:vertAlign w:val="baseline"/>
              </w:rPr>
              <w:t>27.644</w:t>
            </w:r>
          </w:p>
        </w:tc>
        <w:tc>
          <w:tcPr>
            <w:tcW w:w="978" w:type="pct"/>
            <w:tcBorders>
              <w:top w:val="single" w:sz="4" w:space="0" w:color="auto"/>
            </w:tcBorders>
          </w:tcPr>
          <w:p>
            <w:pPr>
              <w:pBdr>
                <w:top w:val="nil"/>
                <w:left w:val="nil"/>
                <w:bottom w:val="nil"/>
                <w:right w:val="nil"/>
                <w:between w:val="nil"/>
                <w:bar w:val="nil"/>
              </w:pBdr>
              <w:rPr>
                <w:b w:val="0"/>
                <w:i w:val="0"/>
                <w:u w:val="none"/>
                <w:vertAlign w:val="baseline"/>
              </w:rPr>
            </w:pPr>
            <w:r>
              <w:rPr>
                <w:b w:val="0"/>
                <w:i w:val="0"/>
                <w:u w:val="none"/>
                <w:vertAlign w:val="baseline"/>
              </w:rPr>
              <w:t>26.994</w:t>
            </w:r>
          </w:p>
        </w:tc>
      </w:tr>
      <w:tr w:rsidTr="008D5539">
        <w:tblPrEx>
          <w:tblW w:w="5000" w:type="pct"/>
          <w:tblLook w:val="04A0"/>
        </w:tblPrEx>
        <w:tc>
          <w:tcPr>
            <w:tcW w:w="1677" w:type="pct"/>
          </w:tcPr>
          <w:p>
            <w:pPr>
              <w:pBdr>
                <w:top w:val="nil"/>
                <w:left w:val="nil"/>
                <w:bottom w:val="nil"/>
                <w:right w:val="nil"/>
                <w:between w:val="nil"/>
                <w:bar w:val="nil"/>
              </w:pBdr>
              <w:rPr>
                <w:b w:val="0"/>
                <w:i w:val="0"/>
                <w:u w:val="none"/>
                <w:vertAlign w:val="baseline"/>
              </w:rPr>
            </w:pPr>
            <w:r>
              <w:rPr>
                <w:b w:val="0"/>
                <w:i w:val="0"/>
                <w:u w:val="none"/>
                <w:vertAlign w:val="baseline"/>
              </w:rPr>
              <w:t>60-74 år</w:t>
            </w:r>
          </w:p>
        </w:tc>
        <w:tc>
          <w:tcPr>
            <w:tcW w:w="1368" w:type="pct"/>
          </w:tcPr>
          <w:p>
            <w:pPr>
              <w:pBdr>
                <w:top w:val="nil"/>
                <w:left w:val="nil"/>
                <w:bottom w:val="nil"/>
                <w:right w:val="nil"/>
                <w:between w:val="nil"/>
                <w:bar w:val="nil"/>
              </w:pBdr>
              <w:rPr>
                <w:b w:val="0"/>
                <w:i w:val="0"/>
                <w:u w:val="none"/>
                <w:vertAlign w:val="baseline"/>
              </w:rPr>
            </w:pPr>
            <w:r>
              <w:rPr>
                <w:b w:val="0"/>
                <w:i w:val="0"/>
                <w:u w:val="none"/>
                <w:vertAlign w:val="baseline"/>
              </w:rPr>
              <w:t>5.740</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6.728</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7.222</w:t>
            </w:r>
          </w:p>
        </w:tc>
      </w:tr>
      <w:tr w:rsidTr="008D5539">
        <w:tblPrEx>
          <w:tblW w:w="5000" w:type="pct"/>
          <w:tblLook w:val="04A0"/>
        </w:tblPrEx>
        <w:tc>
          <w:tcPr>
            <w:tcW w:w="1677" w:type="pct"/>
          </w:tcPr>
          <w:p>
            <w:pPr>
              <w:pBdr>
                <w:top w:val="nil"/>
                <w:left w:val="nil"/>
                <w:bottom w:val="nil"/>
                <w:right w:val="nil"/>
                <w:between w:val="nil"/>
                <w:bar w:val="nil"/>
              </w:pBdr>
              <w:rPr>
                <w:b w:val="0"/>
                <w:i w:val="0"/>
                <w:u w:val="none"/>
                <w:vertAlign w:val="baseline"/>
              </w:rPr>
            </w:pPr>
            <w:r>
              <w:rPr>
                <w:b w:val="0"/>
                <w:i w:val="0"/>
                <w:u w:val="none"/>
                <w:vertAlign w:val="baseline"/>
              </w:rPr>
              <w:t>75-79 år</w:t>
            </w:r>
          </w:p>
        </w:tc>
        <w:tc>
          <w:tcPr>
            <w:tcW w:w="1368" w:type="pct"/>
          </w:tcPr>
          <w:p>
            <w:pPr>
              <w:pBdr>
                <w:top w:val="nil"/>
                <w:left w:val="nil"/>
                <w:bottom w:val="nil"/>
                <w:right w:val="nil"/>
                <w:between w:val="nil"/>
                <w:bar w:val="nil"/>
              </w:pBdr>
              <w:rPr>
                <w:b w:val="0"/>
                <w:i w:val="0"/>
                <w:u w:val="none"/>
                <w:vertAlign w:val="baseline"/>
              </w:rPr>
            </w:pPr>
            <w:r>
              <w:rPr>
                <w:b w:val="0"/>
                <w:i w:val="0"/>
                <w:u w:val="none"/>
                <w:vertAlign w:val="baseline"/>
              </w:rPr>
              <w:t>1.279</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1.500</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1.829</w:t>
            </w:r>
          </w:p>
        </w:tc>
      </w:tr>
      <w:tr w:rsidTr="008D5539">
        <w:tblPrEx>
          <w:tblW w:w="5000" w:type="pct"/>
          <w:tblLook w:val="04A0"/>
        </w:tblPrEx>
        <w:tc>
          <w:tcPr>
            <w:tcW w:w="1677" w:type="pct"/>
          </w:tcPr>
          <w:p>
            <w:pPr>
              <w:pBdr>
                <w:top w:val="nil"/>
                <w:left w:val="nil"/>
                <w:bottom w:val="nil"/>
                <w:right w:val="nil"/>
                <w:between w:val="nil"/>
                <w:bar w:val="nil"/>
              </w:pBdr>
              <w:rPr>
                <w:b w:val="0"/>
                <w:i w:val="0"/>
                <w:u w:val="none"/>
                <w:vertAlign w:val="baseline"/>
              </w:rPr>
            </w:pPr>
            <w:r>
              <w:rPr>
                <w:b w:val="0"/>
                <w:i w:val="0"/>
                <w:u w:val="none"/>
                <w:vertAlign w:val="baseline"/>
              </w:rPr>
              <w:t>80-84 år</w:t>
            </w:r>
          </w:p>
        </w:tc>
        <w:tc>
          <w:tcPr>
            <w:tcW w:w="1368" w:type="pct"/>
          </w:tcPr>
          <w:p>
            <w:pPr>
              <w:pBdr>
                <w:top w:val="nil"/>
                <w:left w:val="nil"/>
                <w:bottom w:val="nil"/>
                <w:right w:val="nil"/>
                <w:between w:val="nil"/>
                <w:bar w:val="nil"/>
              </w:pBdr>
              <w:rPr>
                <w:b w:val="0"/>
                <w:i w:val="0"/>
                <w:u w:val="none"/>
                <w:vertAlign w:val="baseline"/>
              </w:rPr>
            </w:pPr>
            <w:r>
              <w:rPr>
                <w:b w:val="0"/>
                <w:i w:val="0"/>
                <w:u w:val="none"/>
                <w:vertAlign w:val="baseline"/>
              </w:rPr>
              <w:t>807</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1.322</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1.379</w:t>
            </w:r>
          </w:p>
        </w:tc>
      </w:tr>
      <w:tr w:rsidTr="008D5539">
        <w:tblPrEx>
          <w:tblW w:w="5000" w:type="pct"/>
          <w:tblLook w:val="04A0"/>
        </w:tblPrEx>
        <w:tc>
          <w:tcPr>
            <w:tcW w:w="1677" w:type="pct"/>
          </w:tcPr>
          <w:p>
            <w:pPr>
              <w:pBdr>
                <w:top w:val="nil"/>
                <w:left w:val="nil"/>
                <w:bottom w:val="nil"/>
                <w:right w:val="nil"/>
                <w:between w:val="nil"/>
                <w:bar w:val="nil"/>
              </w:pBdr>
              <w:rPr>
                <w:b w:val="0"/>
                <w:i w:val="0"/>
                <w:u w:val="none"/>
                <w:vertAlign w:val="baseline"/>
              </w:rPr>
            </w:pPr>
            <w:r>
              <w:rPr>
                <w:b w:val="0"/>
                <w:i w:val="0"/>
                <w:u w:val="none"/>
                <w:vertAlign w:val="baseline"/>
              </w:rPr>
              <w:t>85-89 år</w:t>
            </w:r>
          </w:p>
        </w:tc>
        <w:tc>
          <w:tcPr>
            <w:tcW w:w="1368" w:type="pct"/>
          </w:tcPr>
          <w:p>
            <w:pPr>
              <w:pBdr>
                <w:top w:val="nil"/>
                <w:left w:val="nil"/>
                <w:bottom w:val="nil"/>
                <w:right w:val="nil"/>
                <w:between w:val="nil"/>
                <w:bar w:val="nil"/>
              </w:pBdr>
              <w:rPr>
                <w:b w:val="0"/>
                <w:i w:val="0"/>
                <w:u w:val="none"/>
                <w:vertAlign w:val="baseline"/>
              </w:rPr>
            </w:pPr>
            <w:r>
              <w:rPr>
                <w:b w:val="0"/>
                <w:i w:val="0"/>
                <w:u w:val="none"/>
                <w:vertAlign w:val="baseline"/>
              </w:rPr>
              <w:t>425</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691</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857</w:t>
            </w:r>
          </w:p>
        </w:tc>
      </w:tr>
      <w:tr w:rsidTr="008D5539">
        <w:tblPrEx>
          <w:tblW w:w="5000" w:type="pct"/>
          <w:tblLook w:val="04A0"/>
        </w:tblPrEx>
        <w:tc>
          <w:tcPr>
            <w:tcW w:w="1677" w:type="pct"/>
          </w:tcPr>
          <w:p>
            <w:pPr>
              <w:pBdr>
                <w:top w:val="nil"/>
                <w:left w:val="nil"/>
                <w:bottom w:val="nil"/>
                <w:right w:val="nil"/>
                <w:between w:val="nil"/>
                <w:bar w:val="nil"/>
              </w:pBdr>
              <w:rPr>
                <w:b w:val="0"/>
                <w:i w:val="0"/>
                <w:u w:val="none"/>
                <w:vertAlign w:val="baseline"/>
              </w:rPr>
            </w:pPr>
            <w:r>
              <w:rPr>
                <w:b w:val="0"/>
                <w:i w:val="0"/>
                <w:u w:val="none"/>
                <w:vertAlign w:val="baseline"/>
              </w:rPr>
              <w:t xml:space="preserve">90+ år </w:t>
            </w:r>
          </w:p>
        </w:tc>
        <w:tc>
          <w:tcPr>
            <w:tcW w:w="1368" w:type="pct"/>
          </w:tcPr>
          <w:p>
            <w:pPr>
              <w:pBdr>
                <w:top w:val="nil"/>
                <w:left w:val="nil"/>
                <w:bottom w:val="nil"/>
                <w:right w:val="nil"/>
                <w:between w:val="nil"/>
                <w:bar w:val="nil"/>
              </w:pBdr>
              <w:rPr>
                <w:b w:val="0"/>
                <w:i w:val="0"/>
                <w:u w:val="none"/>
                <w:vertAlign w:val="baseline"/>
              </w:rPr>
            </w:pPr>
            <w:r>
              <w:rPr>
                <w:b w:val="0"/>
                <w:i w:val="0"/>
                <w:u w:val="none"/>
                <w:vertAlign w:val="baseline"/>
              </w:rPr>
              <w:t>223</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308</w:t>
            </w:r>
          </w:p>
        </w:tc>
        <w:tc>
          <w:tcPr>
            <w:tcW w:w="978" w:type="pct"/>
          </w:tcPr>
          <w:p>
            <w:pPr>
              <w:pBdr>
                <w:top w:val="nil"/>
                <w:left w:val="nil"/>
                <w:bottom w:val="nil"/>
                <w:right w:val="nil"/>
                <w:between w:val="nil"/>
                <w:bar w:val="nil"/>
              </w:pBdr>
              <w:rPr>
                <w:b w:val="0"/>
                <w:i w:val="0"/>
                <w:u w:val="none"/>
                <w:vertAlign w:val="baseline"/>
              </w:rPr>
            </w:pPr>
            <w:r>
              <w:rPr>
                <w:b w:val="0"/>
                <w:i w:val="0"/>
                <w:u w:val="none"/>
                <w:vertAlign w:val="baseline"/>
              </w:rPr>
              <w:t>563</w:t>
            </w:r>
          </w:p>
        </w:tc>
      </w:tr>
      <w:tr w:rsidTr="008D5539">
        <w:tblPrEx>
          <w:tblW w:w="5000" w:type="pct"/>
          <w:tblLook w:val="04A0"/>
        </w:tblPrEx>
        <w:tc>
          <w:tcPr>
            <w:tcW w:w="1677" w:type="pct"/>
            <w:shd w:val="clear" w:color="auto" w:fill="BFBFBF"/>
          </w:tcPr>
          <w:p>
            <w:pPr>
              <w:pBdr>
                <w:top w:val="nil"/>
                <w:left w:val="nil"/>
                <w:bottom w:val="nil"/>
                <w:right w:val="nil"/>
                <w:between w:val="nil"/>
                <w:bar w:val="nil"/>
              </w:pBdr>
              <w:rPr>
                <w:b w:val="0"/>
                <w:i w:val="0"/>
                <w:u w:val="none"/>
                <w:vertAlign w:val="baseline"/>
              </w:rPr>
            </w:pPr>
            <w:r>
              <w:rPr>
                <w:b w:val="0"/>
                <w:i w:val="0"/>
                <w:u w:val="none"/>
                <w:vertAlign w:val="baseline"/>
              </w:rPr>
              <w:t>I alt</w:t>
            </w:r>
          </w:p>
        </w:tc>
        <w:tc>
          <w:tcPr>
            <w:tcW w:w="1368" w:type="pct"/>
            <w:shd w:val="clear" w:color="auto" w:fill="BFBFBF"/>
          </w:tcPr>
          <w:p>
            <w:pPr>
              <w:pBdr>
                <w:top w:val="nil"/>
                <w:left w:val="nil"/>
                <w:bottom w:val="nil"/>
                <w:right w:val="nil"/>
                <w:between w:val="nil"/>
                <w:bar w:val="nil"/>
              </w:pBdr>
              <w:rPr>
                <w:b w:val="0"/>
                <w:i w:val="0"/>
                <w:u w:val="none"/>
                <w:vertAlign w:val="baseline"/>
              </w:rPr>
            </w:pPr>
            <w:r>
              <w:rPr>
                <w:b w:val="0"/>
                <w:i w:val="0"/>
                <w:u w:val="none"/>
                <w:vertAlign w:val="baseline"/>
              </w:rPr>
              <w:t>34.854</w:t>
            </w:r>
          </w:p>
        </w:tc>
        <w:tc>
          <w:tcPr>
            <w:tcW w:w="978" w:type="pct"/>
            <w:shd w:val="clear" w:color="auto" w:fill="BFBFBF"/>
          </w:tcPr>
          <w:p>
            <w:pPr>
              <w:pBdr>
                <w:top w:val="nil"/>
                <w:left w:val="nil"/>
                <w:bottom w:val="nil"/>
                <w:right w:val="nil"/>
                <w:between w:val="nil"/>
                <w:bar w:val="nil"/>
              </w:pBdr>
              <w:rPr>
                <w:b w:val="0"/>
                <w:i w:val="0"/>
                <w:u w:val="none"/>
                <w:vertAlign w:val="baseline"/>
              </w:rPr>
            </w:pPr>
            <w:r>
              <w:rPr>
                <w:b w:val="0"/>
                <w:i w:val="0"/>
                <w:u w:val="none"/>
                <w:vertAlign w:val="baseline"/>
              </w:rPr>
              <w:t>38.194</w:t>
            </w:r>
          </w:p>
        </w:tc>
        <w:tc>
          <w:tcPr>
            <w:tcW w:w="978" w:type="pct"/>
            <w:shd w:val="clear" w:color="auto" w:fill="BFBFBF"/>
          </w:tcPr>
          <w:p>
            <w:pPr>
              <w:pBdr>
                <w:top w:val="nil"/>
                <w:left w:val="nil"/>
                <w:bottom w:val="nil"/>
                <w:right w:val="nil"/>
                <w:between w:val="nil"/>
                <w:bar w:val="nil"/>
              </w:pBdr>
              <w:rPr>
                <w:b w:val="0"/>
                <w:i w:val="0"/>
                <w:u w:val="none"/>
                <w:vertAlign w:val="baseline"/>
              </w:rPr>
            </w:pPr>
            <w:r>
              <w:rPr>
                <w:b w:val="0"/>
                <w:i w:val="0"/>
                <w:u w:val="none"/>
                <w:vertAlign w:val="baseline"/>
              </w:rPr>
              <w:t>38.843</w:t>
            </w:r>
          </w:p>
        </w:tc>
      </w:tr>
    </w:tbl>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Formålet med at beregne forskellige scenarier er at vise forskellen på det fremtidige behov afhængig af hvilke faktorer, der indgår i beregningen. </w:t>
      </w:r>
    </w:p>
    <w:p>
      <w:pPr>
        <w:pBdr>
          <w:top w:val="nil"/>
          <w:left w:val="nil"/>
          <w:bottom w:val="nil"/>
          <w:right w:val="nil"/>
          <w:between w:val="nil"/>
          <w:bar w:val="nil"/>
        </w:pBdr>
        <w:rPr>
          <w:b w:val="0"/>
          <w:i w:val="0"/>
          <w:u w:val="none"/>
          <w:vertAlign w:val="baseline"/>
        </w:rPr>
      </w:pPr>
      <w:r>
        <w:rPr>
          <w:b w:val="0"/>
          <w:i w:val="0"/>
          <w:u w:val="none"/>
          <w:vertAlign w:val="baseline"/>
        </w:rPr>
        <w:t xml:space="preserve"> </w:t>
      </w:r>
    </w:p>
    <w:p>
      <w:pPr>
        <w:pBdr>
          <w:top w:val="nil"/>
          <w:left w:val="nil"/>
          <w:bottom w:val="nil"/>
          <w:right w:val="nil"/>
          <w:between w:val="nil"/>
          <w:bar w:val="nil"/>
        </w:pBdr>
        <w:rPr>
          <w:b w:val="0"/>
          <w:i w:val="0"/>
          <w:u w:val="none"/>
          <w:vertAlign w:val="baseline"/>
        </w:rPr>
      </w:pPr>
      <w:r>
        <w:rPr>
          <w:b w:val="0"/>
          <w:i/>
          <w:u w:val="none"/>
          <w:vertAlign w:val="baseline"/>
        </w:rPr>
        <w:t xml:space="preserve">Scenarie 1 - </w:t>
      </w:r>
      <w:r>
        <w:rPr>
          <w:b w:val="0"/>
          <w:i/>
          <w:u w:val="none"/>
          <w:vertAlign w:val="baseline"/>
        </w:rPr>
        <w:t>hovedscenariet</w:t>
      </w:r>
      <w:r>
        <w:rPr>
          <w:b w:val="0"/>
          <w:i w:val="0"/>
          <w:u w:val="none"/>
          <w:vertAlign w:val="baseline"/>
        </w:rPr>
        <w:t xml:space="preserve"> </w:t>
      </w:r>
    </w:p>
    <w:p>
      <w:pPr>
        <w:pBdr>
          <w:top w:val="nil"/>
          <w:left w:val="nil"/>
          <w:bottom w:val="nil"/>
          <w:right w:val="nil"/>
          <w:between w:val="nil"/>
          <w:bar w:val="nil"/>
        </w:pBdr>
        <w:rPr>
          <w:b w:val="0"/>
          <w:i w:val="0"/>
          <w:u w:val="none"/>
          <w:vertAlign w:val="baseline"/>
        </w:rPr>
      </w:pPr>
      <w:r>
        <w:rPr>
          <w:b w:val="0"/>
          <w:i w:val="0"/>
          <w:u w:val="none"/>
          <w:vertAlign w:val="baseline"/>
        </w:rPr>
        <w:t xml:space="preserve">Hovedscenariet, som COWI finder mest realistisk, er opdelt i en beregning af behovet for almindelige plejeboliger og en beregning af behovet for skærmede plejeboliger.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Det fremtidige behov for almindelige plejeboliger er beregnet ved en f</w:t>
      </w:r>
      <w:r>
        <w:rPr>
          <w:b w:val="0"/>
          <w:i w:val="0"/>
          <w:u w:val="none"/>
          <w:vertAlign w:val="baseline"/>
        </w:rPr>
        <w:t>remskrivning af behovet i de enkelte aldersgrupper på baggrund af den historiske udvikling i Ringsted Kommune. I denne beregning er der taget højde for betydningen fx sund aldring.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Det fremtidige behov for skærmede plejeboliger er beregnet med udgangspunkt i Nationalt Videnscenter for Demens forventninger til udviklingen i antal borgere, der rammes af demenssygdom.</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Scenarie 2 – Jævn nedgang i behov for plejeboliger</w:t>
      </w:r>
    </w:p>
    <w:p>
      <w:pPr>
        <w:pBdr>
          <w:top w:val="nil"/>
          <w:left w:val="nil"/>
          <w:bottom w:val="nil"/>
          <w:right w:val="nil"/>
          <w:between w:val="nil"/>
          <w:bar w:val="nil"/>
        </w:pBdr>
        <w:rPr>
          <w:b w:val="0"/>
          <w:i w:val="0"/>
          <w:u w:val="none"/>
          <w:vertAlign w:val="baseline"/>
        </w:rPr>
      </w:pPr>
      <w:r>
        <w:rPr>
          <w:b w:val="0"/>
          <w:i w:val="0"/>
          <w:u w:val="none"/>
          <w:vertAlign w:val="baseline"/>
        </w:rPr>
        <w:t>Det fremtidige be</w:t>
      </w:r>
      <w:r>
        <w:rPr>
          <w:b w:val="0"/>
          <w:i w:val="0"/>
          <w:u w:val="none"/>
          <w:vertAlign w:val="baseline"/>
        </w:rPr>
        <w:t>hov for plejeboliger er beregnet ved en fremskrivning af behovet for plejeboliger i de enkelte aldersgrupper på baggrund af den historiske udvikling i Ringsted Kommune. Det er altså samme beregningsmetode som i scenarie 1, men uden indregning af en forvent</w:t>
      </w:r>
      <w:r>
        <w:rPr>
          <w:b w:val="0"/>
          <w:i w:val="0"/>
          <w:u w:val="none"/>
          <w:vertAlign w:val="baseline"/>
        </w:rPr>
        <w:t xml:space="preserve">et stigning i antallet af personer med demenslidelse.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Scenarie 3 – uændrede behovsgrader</w:t>
      </w:r>
    </w:p>
    <w:p>
      <w:pPr>
        <w:pBdr>
          <w:top w:val="nil"/>
          <w:left w:val="nil"/>
          <w:bottom w:val="nil"/>
          <w:right w:val="nil"/>
          <w:between w:val="nil"/>
          <w:bar w:val="nil"/>
        </w:pBdr>
        <w:rPr>
          <w:b w:val="0"/>
          <w:i w:val="0"/>
          <w:u w:val="none"/>
          <w:vertAlign w:val="baseline"/>
        </w:rPr>
      </w:pPr>
      <w:r>
        <w:rPr>
          <w:b w:val="0"/>
          <w:i w:val="0"/>
          <w:u w:val="none"/>
          <w:vertAlign w:val="baseline"/>
        </w:rPr>
        <w:t>Det fremtidige behov for plejeboliger er beregnet ved en direkte fremskrivning af behovet, som det er i Ringsted Kommune i dag. Det forudsættes således, at den andel</w:t>
      </w:r>
      <w:r>
        <w:rPr>
          <w:b w:val="0"/>
          <w:i w:val="0"/>
          <w:u w:val="none"/>
          <w:vertAlign w:val="baseline"/>
        </w:rPr>
        <w:t xml:space="preserve"> i hver aldersgruppe som kommer på plejehjem er uændret, selvom antallet af ældre stiger. Det forudsættes endvidere, at behovet for henholdsvis almindelige og skærmede plejeboliger vil være uændret.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Scenarie 4 – alder ved fraflytning</w:t>
      </w:r>
    </w:p>
    <w:p>
      <w:pPr>
        <w:pBdr>
          <w:top w:val="nil"/>
          <w:left w:val="nil"/>
          <w:bottom w:val="nil"/>
          <w:right w:val="nil"/>
          <w:between w:val="nil"/>
          <w:bar w:val="nil"/>
        </w:pBdr>
        <w:rPr>
          <w:b w:val="0"/>
          <w:i w:val="0"/>
          <w:u w:val="none"/>
          <w:vertAlign w:val="baseline"/>
        </w:rPr>
      </w:pPr>
      <w:r>
        <w:rPr>
          <w:b w:val="0"/>
          <w:i w:val="0"/>
          <w:u w:val="none"/>
          <w:vertAlign w:val="baseline"/>
        </w:rPr>
        <w:t xml:space="preserve">Det fremtidige behov </w:t>
      </w:r>
      <w:r>
        <w:rPr>
          <w:b w:val="0"/>
          <w:i w:val="0"/>
          <w:u w:val="none"/>
          <w:vertAlign w:val="baseline"/>
        </w:rPr>
        <w:t xml:space="preserve">for plejeboliger er beregnet ved en vise sammenhængen mellem hvor gamle beboere i plejebolig bliver i hver aldersgruppe og antallet af personer, der bor i en plejebolig.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tabel 2 er det samlede fremtidige behov for plejeboliger vist for hvert af de fir</w:t>
      </w:r>
      <w:r>
        <w:rPr>
          <w:b w:val="0"/>
          <w:i w:val="0"/>
          <w:u w:val="none"/>
          <w:vertAlign w:val="baseline"/>
        </w:rPr>
        <w:t xml:space="preserve">e scenarier.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p>
    <w:tbl>
      <w:tblPr>
        <w:tblStyle w:val="TableGrid"/>
        <w:tblW w:w="0" w:type="auto"/>
        <w:tblLook w:val="04A0"/>
      </w:tblPr>
      <w:tblGrid>
        <w:gridCol w:w="2444"/>
        <w:gridCol w:w="2444"/>
        <w:gridCol w:w="2445"/>
        <w:gridCol w:w="2445"/>
      </w:tblGrid>
      <w:tr w:rsidTr="00E16C4C">
        <w:tblPrEx>
          <w:tblW w:w="0" w:type="auto"/>
          <w:tblLook w:val="04A0"/>
        </w:tblPrEx>
        <w:tc>
          <w:tcPr>
            <w:tcW w:w="9778" w:type="dxa"/>
            <w:gridSpan w:val="4"/>
            <w:shd w:val="clear" w:color="auto" w:fill="A6A6A6"/>
          </w:tcPr>
          <w:p>
            <w:pPr>
              <w:pBdr>
                <w:top w:val="nil"/>
                <w:left w:val="nil"/>
                <w:bottom w:val="nil"/>
                <w:right w:val="nil"/>
                <w:between w:val="nil"/>
                <w:bar w:val="nil"/>
              </w:pBdr>
              <w:rPr>
                <w:b w:val="0"/>
                <w:i w:val="0"/>
                <w:u w:val="none"/>
                <w:vertAlign w:val="baseline"/>
              </w:rPr>
            </w:pPr>
            <w:r>
              <w:rPr>
                <w:b w:val="0"/>
                <w:i w:val="0"/>
                <w:u w:val="none"/>
                <w:vertAlign w:val="baseline"/>
              </w:rPr>
              <w:t>Samlet fremtidigt behov for plejeboliger ved de forskellige scenarier</w:t>
            </w:r>
          </w:p>
        </w:tc>
      </w:tr>
      <w:tr w:rsidTr="00E16C4C">
        <w:tblPrEx>
          <w:tblW w:w="0" w:type="auto"/>
          <w:tblLook w:val="04A0"/>
        </w:tblPrEx>
        <w:tc>
          <w:tcPr>
            <w:tcW w:w="2444" w:type="dxa"/>
            <w:shd w:val="clear" w:color="auto" w:fill="A6A6A6"/>
          </w:tcPr>
          <w:p>
            <w:pPr>
              <w:pBdr>
                <w:top w:val="nil"/>
                <w:left w:val="nil"/>
                <w:bottom w:val="nil"/>
                <w:right w:val="nil"/>
                <w:between w:val="nil"/>
                <w:bar w:val="nil"/>
              </w:pBdr>
              <w:rPr>
                <w:b w:val="0"/>
                <w:i w:val="0"/>
                <w:u w:val="none"/>
                <w:vertAlign w:val="baseline"/>
              </w:rPr>
            </w:pP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2020</w:t>
            </w:r>
          </w:p>
        </w:tc>
        <w:tc>
          <w:tcPr>
            <w:tcW w:w="2445"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2030</w:t>
            </w:r>
          </w:p>
        </w:tc>
        <w:tc>
          <w:tcPr>
            <w:tcW w:w="2445"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2040</w:t>
            </w:r>
          </w:p>
        </w:tc>
      </w:tr>
      <w:tr w:rsidTr="00E16C4C">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1</w:t>
            </w:r>
          </w:p>
        </w:tc>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229</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250</w:t>
            </w:r>
          </w:p>
        </w:tc>
      </w:tr>
      <w:tr w:rsidTr="00E16C4C">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2</w:t>
            </w:r>
          </w:p>
        </w:tc>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221</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230</w:t>
            </w:r>
          </w:p>
        </w:tc>
      </w:tr>
      <w:tr w:rsidTr="00E16C4C">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3</w:t>
            </w:r>
          </w:p>
        </w:tc>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278</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362</w:t>
            </w:r>
          </w:p>
        </w:tc>
      </w:tr>
      <w:tr w:rsidTr="00E16C4C">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4</w:t>
            </w:r>
          </w:p>
        </w:tc>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220</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245</w:t>
            </w:r>
          </w:p>
        </w:tc>
      </w:tr>
    </w:tbl>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I tabel 3 er antal ekstra boliger i henholdsvis 2030 </w:t>
      </w:r>
      <w:r>
        <w:rPr>
          <w:b w:val="0"/>
          <w:i w:val="0"/>
          <w:u w:val="none"/>
          <w:vertAlign w:val="baseline"/>
        </w:rPr>
        <w:t>og 2040 vist i forhold til 2020 for hvert af de fire scenarier.</w:t>
      </w:r>
    </w:p>
    <w:p>
      <w:pPr>
        <w:pBdr>
          <w:top w:val="nil"/>
          <w:left w:val="nil"/>
          <w:bottom w:val="nil"/>
          <w:right w:val="nil"/>
          <w:between w:val="nil"/>
          <w:bar w:val="nil"/>
        </w:pBdr>
        <w:rPr>
          <w:b w:val="0"/>
          <w:i w:val="0"/>
          <w:u w:val="none"/>
          <w:vertAlign w:val="baseline"/>
        </w:rPr>
      </w:pPr>
    </w:p>
    <w:tbl>
      <w:tblPr>
        <w:tblStyle w:val="TableGrid"/>
        <w:tblW w:w="0" w:type="auto"/>
        <w:tblLook w:val="04A0"/>
      </w:tblPr>
      <w:tblGrid>
        <w:gridCol w:w="2444"/>
        <w:gridCol w:w="2444"/>
        <w:gridCol w:w="2445"/>
        <w:gridCol w:w="2445"/>
      </w:tblGrid>
      <w:tr w:rsidTr="00E16C4C">
        <w:tblPrEx>
          <w:tblW w:w="0" w:type="auto"/>
          <w:tblLook w:val="04A0"/>
        </w:tblPrEx>
        <w:tc>
          <w:tcPr>
            <w:tcW w:w="9778" w:type="dxa"/>
            <w:gridSpan w:val="4"/>
            <w:shd w:val="clear" w:color="auto" w:fill="A6A6A6"/>
          </w:tcPr>
          <w:p>
            <w:pPr>
              <w:pBdr>
                <w:top w:val="nil"/>
                <w:left w:val="nil"/>
                <w:bottom w:val="nil"/>
                <w:right w:val="nil"/>
                <w:between w:val="nil"/>
                <w:bar w:val="nil"/>
              </w:pBdr>
              <w:rPr>
                <w:b w:val="0"/>
                <w:i w:val="0"/>
                <w:u w:val="none"/>
                <w:vertAlign w:val="baseline"/>
              </w:rPr>
            </w:pPr>
            <w:r>
              <w:rPr>
                <w:b w:val="0"/>
                <w:i w:val="0"/>
                <w:u w:val="none"/>
                <w:vertAlign w:val="baseline"/>
              </w:rPr>
              <w:t>Antal ekstra plejeboliger i forhold til 2020</w:t>
            </w:r>
          </w:p>
        </w:tc>
      </w:tr>
      <w:tr w:rsidTr="008C65B6">
        <w:tblPrEx>
          <w:tblW w:w="0" w:type="auto"/>
          <w:tblLook w:val="04A0"/>
        </w:tblPrEx>
        <w:tc>
          <w:tcPr>
            <w:tcW w:w="2444" w:type="dxa"/>
            <w:shd w:val="clear" w:color="auto" w:fill="A6A6A6"/>
          </w:tcPr>
          <w:p>
            <w:pPr>
              <w:pBdr>
                <w:top w:val="nil"/>
                <w:left w:val="nil"/>
                <w:bottom w:val="nil"/>
                <w:right w:val="nil"/>
                <w:between w:val="nil"/>
                <w:bar w:val="nil"/>
              </w:pBdr>
              <w:rPr>
                <w:b w:val="0"/>
                <w:i w:val="0"/>
                <w:u w:val="none"/>
                <w:vertAlign w:val="baseline"/>
              </w:rPr>
            </w:pP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2020</w:t>
            </w:r>
          </w:p>
        </w:tc>
        <w:tc>
          <w:tcPr>
            <w:tcW w:w="2445"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2030</w:t>
            </w:r>
          </w:p>
        </w:tc>
        <w:tc>
          <w:tcPr>
            <w:tcW w:w="2445"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2040</w:t>
            </w:r>
          </w:p>
        </w:tc>
      </w:tr>
      <w:tr w:rsidTr="008C65B6">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1</w:t>
            </w: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+ 35</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+ 56</w:t>
            </w:r>
          </w:p>
        </w:tc>
      </w:tr>
      <w:tr w:rsidTr="008C65B6">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2</w:t>
            </w: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+ 27</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+ 36</w:t>
            </w:r>
          </w:p>
        </w:tc>
      </w:tr>
      <w:tr w:rsidTr="008C65B6">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3</w:t>
            </w: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+ 84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+ 168</w:t>
            </w:r>
          </w:p>
        </w:tc>
      </w:tr>
      <w:tr w:rsidTr="008C65B6">
        <w:tblPrEx>
          <w:tblW w:w="0" w:type="auto"/>
          <w:tblLook w:val="04A0"/>
        </w:tblPrEx>
        <w:tc>
          <w:tcPr>
            <w:tcW w:w="2444" w:type="dxa"/>
          </w:tcPr>
          <w:p>
            <w:pPr>
              <w:pBdr>
                <w:top w:val="nil"/>
                <w:left w:val="nil"/>
                <w:bottom w:val="nil"/>
                <w:right w:val="nil"/>
                <w:between w:val="nil"/>
                <w:bar w:val="nil"/>
              </w:pBdr>
              <w:rPr>
                <w:b w:val="0"/>
                <w:i w:val="0"/>
                <w:u w:val="none"/>
                <w:vertAlign w:val="baseline"/>
              </w:rPr>
            </w:pPr>
            <w:r>
              <w:rPr>
                <w:b w:val="0"/>
                <w:i w:val="0"/>
                <w:u w:val="none"/>
                <w:vertAlign w:val="baseline"/>
              </w:rPr>
              <w:t>Scenarie 4</w:t>
            </w:r>
          </w:p>
        </w:tc>
        <w:tc>
          <w:tcPr>
            <w:tcW w:w="2444" w:type="dxa"/>
            <w:shd w:val="clear" w:color="auto" w:fill="D9D9D9"/>
          </w:tcPr>
          <w:p>
            <w:pPr>
              <w:pBdr>
                <w:top w:val="nil"/>
                <w:left w:val="nil"/>
                <w:bottom w:val="nil"/>
                <w:right w:val="nil"/>
                <w:between w:val="nil"/>
                <w:bar w:val="nil"/>
              </w:pBdr>
              <w:rPr>
                <w:b w:val="0"/>
                <w:i w:val="0"/>
                <w:u w:val="none"/>
                <w:vertAlign w:val="baseline"/>
              </w:rPr>
            </w:pPr>
            <w:r>
              <w:rPr>
                <w:b w:val="0"/>
                <w:i w:val="0"/>
                <w:u w:val="none"/>
                <w:vertAlign w:val="baseline"/>
              </w:rPr>
              <w:t>194</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+ 26</w:t>
            </w:r>
          </w:p>
        </w:tc>
        <w:tc>
          <w:tcPr>
            <w:tcW w:w="2445" w:type="dxa"/>
          </w:tcPr>
          <w:p>
            <w:pPr>
              <w:pBdr>
                <w:top w:val="nil"/>
                <w:left w:val="nil"/>
                <w:bottom w:val="nil"/>
                <w:right w:val="nil"/>
                <w:between w:val="nil"/>
                <w:bar w:val="nil"/>
              </w:pBdr>
              <w:rPr>
                <w:b w:val="0"/>
                <w:i w:val="0"/>
                <w:u w:val="none"/>
                <w:vertAlign w:val="baseline"/>
              </w:rPr>
            </w:pPr>
            <w:r>
              <w:rPr>
                <w:b w:val="0"/>
                <w:i w:val="0"/>
                <w:u w:val="none"/>
                <w:vertAlign w:val="baseline"/>
              </w:rPr>
              <w:t>+ 51</w:t>
            </w:r>
          </w:p>
        </w:tc>
      </w:tr>
    </w:tbl>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Opdelingen i henholdsvis skærmede og almindelige plejeboliger, som der er regnet på i scenarie 1, fremgår ikke af de to ovenstående tabeller, men ifølge beregningen skal 50 % af de ekstra boliger i scenarie 1 være skærmede boliger.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 fire forskellige be</w:t>
      </w:r>
      <w:r>
        <w:rPr>
          <w:b w:val="0"/>
          <w:i w:val="0"/>
          <w:u w:val="none"/>
          <w:vertAlign w:val="baseline"/>
        </w:rPr>
        <w:t>regningsmetoder giver forskellige resultater. Mest markant er forskellen i scenarie 3, hvor sund aldring med flere ikke er medregnet.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Nedenfor præsenteres analysens samlede konklusioner:</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Sund aldring giver flere ældre og større forventninger til ældretil</w:t>
      </w:r>
      <w:r>
        <w:rPr>
          <w:b w:val="0"/>
          <w:i/>
          <w:u w:val="none"/>
          <w:vertAlign w:val="baseline"/>
        </w:rPr>
        <w:t>værelsen</w:t>
      </w:r>
    </w:p>
    <w:p>
      <w:pPr>
        <w:pBdr>
          <w:top w:val="nil"/>
          <w:left w:val="nil"/>
          <w:bottom w:val="nil"/>
          <w:right w:val="nil"/>
          <w:between w:val="nil"/>
          <w:bar w:val="nil"/>
        </w:pBdr>
        <w:rPr>
          <w:b w:val="0"/>
          <w:i w:val="0"/>
          <w:u w:val="none"/>
          <w:vertAlign w:val="baseline"/>
        </w:rPr>
      </w:pPr>
      <w:r>
        <w:rPr>
          <w:b w:val="0"/>
          <w:i w:val="0"/>
          <w:u w:val="none"/>
          <w:vertAlign w:val="baseline"/>
        </w:rPr>
        <w:t>Befolkningsprognosen viser, at antallet af ældre vil stige. Sund aldring betyder, at behovet for nye boliger stiger mindre end stigningen i antallet af ældre.</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Det opleves, at ældre i dag har større forventninger til en aktiv og indholdsrig hverda</w:t>
      </w:r>
      <w:r>
        <w:rPr>
          <w:b w:val="0"/>
          <w:i w:val="0"/>
          <w:u w:val="none"/>
          <w:vertAlign w:val="baseline"/>
        </w:rPr>
        <w:t>g herunder mulighed for at være del af et fællesskab, hvor man er sammen, men også har mulighed for at være alene.</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Behov for flere plejeboliger i fremtiden</w:t>
      </w:r>
    </w:p>
    <w:p>
      <w:pPr>
        <w:pBdr>
          <w:top w:val="nil"/>
          <w:left w:val="nil"/>
          <w:bottom w:val="nil"/>
          <w:right w:val="nil"/>
          <w:between w:val="nil"/>
          <w:bar w:val="nil"/>
        </w:pBdr>
        <w:rPr>
          <w:b w:val="0"/>
          <w:i w:val="0"/>
          <w:u w:val="none"/>
          <w:vertAlign w:val="baseline"/>
        </w:rPr>
      </w:pPr>
      <w:r>
        <w:rPr>
          <w:b w:val="0"/>
          <w:i w:val="0"/>
          <w:u w:val="none"/>
          <w:vertAlign w:val="baseline"/>
        </w:rPr>
        <w:t>Den gennemsnitlige levealder er stigende, og selvom flere ældre er aktive og klarer sig selv længer</w:t>
      </w:r>
      <w:r>
        <w:rPr>
          <w:b w:val="0"/>
          <w:i w:val="0"/>
          <w:u w:val="none"/>
          <w:vertAlign w:val="baseline"/>
        </w:rPr>
        <w:t>e, betyder stigende leveralder at flere rammes af dårligt fysisk og mentalt helbred. Det betyder, at behovet for både hjemmehjælp og plejebolig stiger med alderen.</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Behovet for plejeboliger stiger med 35 nye boliger frem mod 2030 og med 56 nye boliger frem</w:t>
      </w:r>
      <w:r>
        <w:rPr>
          <w:b w:val="0"/>
          <w:i w:val="0"/>
          <w:u w:val="none"/>
          <w:vertAlign w:val="baseline"/>
        </w:rPr>
        <w:t xml:space="preserve"> mod 2040. Det forventes, at halvdelen af boligerne skal være skærmed (jf. scenarie 1). Der er ikke akut behov for flere boliger.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Fleksibel brug af de fremtidige plejeboliger er vigtig</w:t>
      </w:r>
    </w:p>
    <w:p>
      <w:pPr>
        <w:pBdr>
          <w:top w:val="nil"/>
          <w:left w:val="nil"/>
          <w:bottom w:val="nil"/>
          <w:right w:val="nil"/>
          <w:between w:val="nil"/>
          <w:bar w:val="nil"/>
        </w:pBdr>
        <w:rPr>
          <w:b w:val="0"/>
          <w:i w:val="0"/>
          <w:u w:val="none"/>
          <w:vertAlign w:val="baseline"/>
        </w:rPr>
      </w:pPr>
      <w:r>
        <w:rPr>
          <w:b w:val="0"/>
          <w:i w:val="0"/>
          <w:u w:val="none"/>
          <w:vertAlign w:val="baseline"/>
        </w:rPr>
        <w:t xml:space="preserve">Ældre i Danmark ønsker at bo i eget hjem længst muligt. Flytning til </w:t>
      </w:r>
      <w:r>
        <w:rPr>
          <w:b w:val="0"/>
          <w:i w:val="0"/>
          <w:u w:val="none"/>
          <w:vertAlign w:val="baseline"/>
        </w:rPr>
        <w:t>plejecenter er forbundet med forventning om tab af livskvalitet. Fokus på fællesskab og aktiviteter i hverdagen er vigtigt.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Fleksible boliger er vigtige i forhold til:</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At borgerne kan indrette deres bolig efter deres forskellige behov</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sikre et godt </w:t>
      </w:r>
      <w:r>
        <w:rPr>
          <w:b w:val="0"/>
          <w:i w:val="0"/>
          <w:u w:val="none"/>
          <w:vertAlign w:val="baseline"/>
        </w:rPr>
        <w:t>arbejdsmiljø for medarbejderne</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At boligerne kan anvendes til andre formål, fx midlertidige pladser, ventepladser eller rehabiliteringspladser afhængig af behov</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At boligerne kan anvendes til borgere med forskellige behov, fx yngre (50-årige) borgere med dem</w:t>
      </w:r>
      <w:r>
        <w:rPr>
          <w:b w:val="0"/>
          <w:i w:val="0"/>
          <w:u w:val="none"/>
          <w:vertAlign w:val="baseline"/>
        </w:rPr>
        <w:t>ens eller borgere der er udadreagerende på grund af demens eller andre hjerneskader</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sikre god driftsøkonomi </w:t>
      </w:r>
    </w:p>
    <w:p>
      <w:pPr>
        <w:pStyle w:val="ListParagraph"/>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Både personale og bygninger skal rustes til at håndtere stigningen i borgere med demens</w:t>
      </w:r>
    </w:p>
    <w:p>
      <w:pPr>
        <w:pBdr>
          <w:top w:val="nil"/>
          <w:left w:val="nil"/>
          <w:bottom w:val="nil"/>
          <w:right w:val="nil"/>
          <w:between w:val="nil"/>
          <w:bar w:val="nil"/>
        </w:pBdr>
        <w:rPr>
          <w:b w:val="0"/>
          <w:i w:val="0"/>
          <w:u w:val="none"/>
          <w:vertAlign w:val="baseline"/>
        </w:rPr>
      </w:pPr>
      <w:r>
        <w:rPr>
          <w:b w:val="0"/>
          <w:i w:val="0"/>
          <w:u w:val="none"/>
          <w:vertAlign w:val="baseline"/>
        </w:rPr>
        <w:t xml:space="preserve">Antallet af ældre der rammes af demenssygdom forventes </w:t>
      </w:r>
      <w:r>
        <w:rPr>
          <w:b w:val="0"/>
          <w:i w:val="0"/>
          <w:u w:val="none"/>
          <w:vertAlign w:val="baseline"/>
        </w:rPr>
        <w:t xml:space="preserve">at stige, så der bliver både øget behov for at almindelige plejeboliger er demensvenlige og øget behov for skærmede boliger. </w:t>
      </w:r>
    </w:p>
    <w:p>
      <w:pPr>
        <w:pStyle w:val="ListParagraph"/>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Fremtidens boliger skal tilgodese fællesskab og have fokus på livskvalitet i hverdagen</w:t>
      </w:r>
    </w:p>
    <w:p>
      <w:pPr>
        <w:pBdr>
          <w:top w:val="nil"/>
          <w:left w:val="nil"/>
          <w:bottom w:val="nil"/>
          <w:right w:val="nil"/>
          <w:between w:val="nil"/>
          <w:bar w:val="nil"/>
        </w:pBdr>
        <w:rPr>
          <w:b w:val="0"/>
          <w:i w:val="0"/>
          <w:u w:val="none"/>
          <w:vertAlign w:val="baseline"/>
        </w:rPr>
      </w:pPr>
      <w:r>
        <w:rPr>
          <w:b w:val="0"/>
          <w:i w:val="0"/>
          <w:u w:val="none"/>
          <w:vertAlign w:val="baseline"/>
        </w:rPr>
        <w:t xml:space="preserve">Det er centralt, at plejecentrene har imødekommende og hjemlige fællesarealer. Det er hverdagen, der er vigtigst for beboerne, så der skal være fokus på, at de små dagligdagsting er med at øge livskvaliteten.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Flere giver udtryk for, at det kan være en fo</w:t>
      </w:r>
      <w:r>
        <w:rPr>
          <w:b w:val="0"/>
          <w:i w:val="0"/>
          <w:u w:val="none"/>
          <w:vertAlign w:val="baseline"/>
        </w:rPr>
        <w:t>rdel, at plejecentret ligger bynært – tæt på byen og transportmuligheder, men også tæt på natur og friluftsliv. Især for demensramte gælder det, at jo mere rolige og genkendelige omgivelserne er, jo bedre. Natur og musik skaber ingen forventninger til borg</w:t>
      </w:r>
      <w:r>
        <w:rPr>
          <w:b w:val="0"/>
          <w:i w:val="0"/>
          <w:u w:val="none"/>
          <w:vertAlign w:val="baseline"/>
        </w:rPr>
        <w:t>erne. Det skal bare opleves og nydes</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u w:val="none"/>
          <w:vertAlign w:val="baseline"/>
        </w:rPr>
      </w:pPr>
      <w:r>
        <w:rPr>
          <w:b w:val="0"/>
          <w:i/>
          <w:u w:val="none"/>
          <w:vertAlign w:val="baseline"/>
        </w:rPr>
        <w:t>Der er fordele både ved at bygge til og bygge nyt</w:t>
      </w:r>
    </w:p>
    <w:p>
      <w:pPr>
        <w:pBdr>
          <w:top w:val="nil"/>
          <w:left w:val="nil"/>
          <w:bottom w:val="nil"/>
          <w:right w:val="nil"/>
          <w:between w:val="nil"/>
          <w:bar w:val="nil"/>
        </w:pBdr>
        <w:rPr>
          <w:b w:val="0"/>
          <w:i w:val="0"/>
          <w:u w:val="none"/>
          <w:vertAlign w:val="baseline"/>
        </w:rPr>
      </w:pPr>
      <w:r>
        <w:rPr>
          <w:b w:val="0"/>
          <w:i w:val="0"/>
          <w:u w:val="none"/>
          <w:vertAlign w:val="baseline"/>
        </w:rPr>
        <w:t>Fordelen ved at udbygge et af de nuværende plejecentre er, at der kan opnås driftsoptimering og stordriftsfordele.</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Et plejecenter med mellem 60-90 pladser anses som væ</w:t>
      </w:r>
      <w:r>
        <w:rPr>
          <w:b w:val="0"/>
          <w:i w:val="0"/>
          <w:u w:val="none"/>
          <w:vertAlign w:val="baseline"/>
        </w:rPr>
        <w:t>rende driftsøkonomisk optimal.</w:t>
      </w:r>
    </w:p>
    <w:p>
      <w:pPr>
        <w:pStyle w:val="ListParagraph"/>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Fordelen ved at bygge nyt er der nemmere kan indrettes optimalt med hensyn til, fx beboernes ønsker og forskelligheder, arbejdsmiljø og velfærdsteknologi.</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Informanterne gav udtryk for, at en udbygning af de eksisterende ple</w:t>
      </w:r>
      <w:r>
        <w:rPr>
          <w:b w:val="0"/>
          <w:i w:val="0"/>
          <w:u w:val="none"/>
          <w:vertAlign w:val="baseline"/>
        </w:rPr>
        <w:t xml:space="preserve">jecentre ikke nødvendigvis er den mest hensigtsmæssig og holdbare løsning blandt andet i forhold til behovet for skærmede boliger. Dog kunne dette løses, fx ved en udbygning af Plejecenter Solbakken til specialiseret demensplejecenter.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I analysen indgår </w:t>
      </w:r>
      <w:r>
        <w:rPr>
          <w:b w:val="0"/>
          <w:i w:val="0"/>
          <w:u w:val="none"/>
          <w:vertAlign w:val="baseline"/>
        </w:rPr>
        <w:t>en beregning af prisen pr. plejebolig og en gennemgang af de forhold, der har betydning for den fremtidige driftsøkonomi. Eksempelvis viser en benchmarkundersøgelse blandt syv forskellige plejecentre, som KL genførte i 2012, at plejecentre med ca. 85-90 pl</w:t>
      </w:r>
      <w:r>
        <w:rPr>
          <w:b w:val="0"/>
          <w:i w:val="0"/>
          <w:u w:val="none"/>
          <w:vertAlign w:val="baseline"/>
        </w:rPr>
        <w:t xml:space="preserve">adser havde de laveste pladspriser. Plejercentre med 45-50 pladser havde de højeste pladspriser. Dette harmonere dog ikke med forholdende i Ringsted Kommune, hvor Plejecenter Ortved har den laveste pladspris.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I analysen er der ligeledes en gennemgang af </w:t>
      </w:r>
      <w:r>
        <w:rPr>
          <w:b w:val="0"/>
          <w:i w:val="0"/>
          <w:u w:val="none"/>
          <w:vertAlign w:val="baseline"/>
        </w:rPr>
        <w:t xml:space="preserve">forskellige muligheder for finansiering af en udbygning af plejeboligkapaciteten. Mulighederne omhandler kontant- eller lånfinansiering, finansiering via forskellige typer Offentlig Private Partnerskaber samt udbygning af kapaciteten ved at samarbejde med </w:t>
      </w:r>
      <w:r>
        <w:rPr>
          <w:b w:val="0"/>
          <w:i w:val="0"/>
          <w:u w:val="none"/>
          <w:vertAlign w:val="baseline"/>
        </w:rPr>
        <w:t>en privat aktør om bygning af friplejeboliger.</w:t>
      </w:r>
    </w:p>
    <w:p>
      <w:pPr>
        <w:pStyle w:val="Heading2"/>
      </w:pPr>
      <w:bookmarkEnd w:id="2"/>
      <w:r>
        <w:t>Inddragelse og høring</w:t>
      </w:r>
      <w:bookmarkStart w:id="3" w:name="DocPart322822"/>
    </w:p>
    <w:p>
      <w:pPr>
        <w:pBdr>
          <w:top w:val="nil"/>
          <w:left w:val="nil"/>
          <w:bottom w:val="nil"/>
          <w:right w:val="nil"/>
          <w:between w:val="nil"/>
          <w:bar w:val="nil"/>
        </w:pBdr>
        <w:rPr>
          <w:b w:val="0"/>
          <w:i w:val="0"/>
          <w:u w:val="none"/>
          <w:vertAlign w:val="baseline"/>
        </w:rPr>
      </w:pPr>
      <w:r>
        <w:rPr>
          <w:b w:val="0"/>
          <w:i w:val="0"/>
          <w:u w:val="none"/>
          <w:vertAlign w:val="baseline"/>
        </w:rPr>
        <w:t>Til høring i Ældrerådet.</w:t>
      </w:r>
    </w:p>
    <w:p>
      <w:pPr>
        <w:pStyle w:val="Heading2"/>
      </w:pPr>
      <w:bookmarkEnd w:id="3"/>
      <w:r>
        <w:t>Økonomi</w:t>
      </w:r>
      <w:bookmarkStart w:id="4" w:name="DocPart322823"/>
    </w:p>
    <w:p>
      <w:pPr>
        <w:pBdr>
          <w:top w:val="nil"/>
          <w:left w:val="nil"/>
          <w:bottom w:val="nil"/>
          <w:right w:val="nil"/>
          <w:between w:val="nil"/>
          <w:bar w:val="nil"/>
        </w:pBdr>
        <w:rPr>
          <w:b w:val="0"/>
          <w:i w:val="0"/>
          <w:u w:val="none"/>
          <w:vertAlign w:val="baseline"/>
        </w:rPr>
      </w:pPr>
      <w:r>
        <w:rPr>
          <w:b w:val="0"/>
          <w:i w:val="0"/>
          <w:u w:val="none"/>
          <w:vertAlign w:val="baseline"/>
        </w:rPr>
        <w:t xml:space="preserve">Denne sag har ingen bevillingsmæssige konsekvenser. Hvis det besluttes, at arbejde videre med en udbygning af plejeboligkapaciteten, skal der, afhængig </w:t>
      </w:r>
      <w:r>
        <w:rPr>
          <w:b w:val="0"/>
          <w:i w:val="0"/>
          <w:u w:val="none"/>
          <w:vertAlign w:val="baseline"/>
        </w:rPr>
        <w:t>af den valgte model for udbygning, afsættes penge til projektering og byggeri med videre.</w:t>
      </w:r>
    </w:p>
    <w:p>
      <w:pPr>
        <w:pStyle w:val="Heading2"/>
      </w:pPr>
      <w:bookmarkEnd w:id="4"/>
      <w:r>
        <w:t>Vurdering</w:t>
      </w:r>
      <w:bookmarkStart w:id="5" w:name="DocPart322824"/>
    </w:p>
    <w:p>
      <w:pPr>
        <w:pBdr>
          <w:top w:val="nil"/>
          <w:left w:val="nil"/>
          <w:bottom w:val="nil"/>
          <w:right w:val="nil"/>
          <w:between w:val="nil"/>
          <w:bar w:val="nil"/>
        </w:pBdr>
        <w:rPr>
          <w:b w:val="0"/>
          <w:i w:val="0"/>
          <w:u w:val="none"/>
          <w:vertAlign w:val="baseline"/>
        </w:rPr>
      </w:pPr>
      <w:r>
        <w:rPr>
          <w:b w:val="0"/>
          <w:i w:val="0"/>
          <w:u w:val="none"/>
          <w:vertAlign w:val="baseline"/>
        </w:rPr>
        <w:t>Det er administrationens vurdering, at analysen giver et bredt indblik i de forhold, der har betydning for udviklingen på ældreområdet, og dermed for en ud</w:t>
      </w:r>
      <w:r>
        <w:rPr>
          <w:b w:val="0"/>
          <w:i w:val="0"/>
          <w:u w:val="none"/>
          <w:vertAlign w:val="baseline"/>
        </w:rPr>
        <w:t xml:space="preserve">bygning af plejeboligkapaciteten.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Der er således en grundig gennemgang af udviklingen på ældreområdet i Ringsted Kommune herunder demografi, sociale faktorer, flyttemønster blandt ældre og behovet for hjemmepleje og plejeboliger. Der er en endvidere en g</w:t>
      </w:r>
      <w:r>
        <w:rPr>
          <w:b w:val="0"/>
          <w:i w:val="0"/>
          <w:u w:val="none"/>
          <w:vertAlign w:val="baseline"/>
        </w:rPr>
        <w:t xml:space="preserve">od opsamling på forskning om ældres bosætingsmønstre og ønsker til bolig i alderdommen samt på de forhold, der har indflydelse på ældres kognitive og fysiske funktionsniveau.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Administrationen vurderer, at beregningerne af de forskellige scenarier medvir</w:t>
      </w:r>
      <w:r>
        <w:rPr>
          <w:b w:val="0"/>
          <w:i w:val="0"/>
          <w:u w:val="none"/>
          <w:vertAlign w:val="baseline"/>
        </w:rPr>
        <w:t xml:space="preserve">ker til at give en god fornemmelse af, hvordan forskellige faktorer påvirker det endelige resultat. Det vurderes, at scenarie 1 – hovedscenariet er det bedste bud på det fremtidige kapacitetsbehov i Ringsted.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Der er administrationens vurdering, at afsnit</w:t>
      </w:r>
      <w:r>
        <w:rPr>
          <w:b w:val="0"/>
          <w:i w:val="0"/>
          <w:u w:val="none"/>
          <w:vertAlign w:val="baseline"/>
        </w:rPr>
        <w:t>tet om finansiering og drift tilvejebringer et godt overblik over de mulige finansieringsløsninger. Det vurderes samtidig, at den bedste finansieringsløsning afhænger af beslutningen om, hvordan kapaciteten af plejeboliger konkret skal udbygges. Om der ska</w:t>
      </w:r>
      <w:r>
        <w:rPr>
          <w:b w:val="0"/>
          <w:i w:val="0"/>
          <w:u w:val="none"/>
          <w:vertAlign w:val="baseline"/>
        </w:rPr>
        <w:t xml:space="preserve">l bygges til eller bygges nyt, om kommunen vil indgå i partnerskaber eller samarbejde med en privat aktør og i hvilken grad boligerne skal kunne benyttes til andre formål, fx rehabiliteringspladser.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forbindelse med udarbejdelse af analysen har COWI int</w:t>
      </w:r>
      <w:r>
        <w:rPr>
          <w:b w:val="0"/>
          <w:i w:val="0"/>
          <w:u w:val="none"/>
          <w:vertAlign w:val="baseline"/>
        </w:rPr>
        <w:t>erviewet forskellige interne og eksterne aktører. Det vurderes, at interviewene bidrager med relevant indsigt i de holdninger og forventninger, der er til både det fremtidige behov for boliger og til indretning af plejecentre og boliger. Det vurderes, at b</w:t>
      </w:r>
      <w:r>
        <w:rPr>
          <w:b w:val="0"/>
          <w:i w:val="0"/>
          <w:u w:val="none"/>
          <w:vertAlign w:val="baseline"/>
        </w:rPr>
        <w:t>orgermødet vil medvirke til en yderligere kvalificering af ønsker og forventninger. Det vurderes videre, at analysens konklusioner kan være med til at understøtte drøftelserne på borgermødet.</w:t>
      </w:r>
    </w:p>
    <w:p>
      <w:pPr>
        <w:pStyle w:val="Heading2"/>
      </w:pPr>
      <w:bookmarkEnd w:id="5"/>
      <w:r>
        <w:t>Indstilling</w:t>
      </w:r>
      <w:bookmarkStart w:id="6" w:name="DocPart322825"/>
    </w:p>
    <w:p>
      <w:pPr>
        <w:pBdr>
          <w:top w:val="nil"/>
          <w:left w:val="nil"/>
          <w:bottom w:val="nil"/>
          <w:right w:val="nil"/>
          <w:between w:val="nil"/>
          <w:bar w:val="nil"/>
        </w:pBdr>
        <w:rPr>
          <w:b w:val="0"/>
          <w:i w:val="0"/>
          <w:u w:val="none"/>
          <w:vertAlign w:val="baseline"/>
        </w:rPr>
      </w:pPr>
      <w:r>
        <w:rPr>
          <w:b/>
          <w:i w:val="0"/>
          <w:u w:val="none"/>
          <w:vertAlign w:val="baseline"/>
        </w:rPr>
        <w:t>Direktionen indstiller</w:t>
      </w:r>
      <w:r>
        <w:rPr>
          <w:b/>
          <w:i w:val="0"/>
          <w:u w:val="none"/>
          <w:vertAlign w:val="baseline"/>
        </w:rPr>
        <w:t>,</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a</w:t>
      </w:r>
      <w:r>
        <w:rPr>
          <w:b w:val="0"/>
          <w:i w:val="0"/>
          <w:u w:val="none"/>
          <w:vertAlign w:val="baseline"/>
        </w:rPr>
        <w:t>t der arbejdes videre med</w:t>
      </w:r>
      <w:r>
        <w:rPr>
          <w:b w:val="0"/>
          <w:i w:val="0"/>
          <w:u w:val="none"/>
          <w:vertAlign w:val="baseline"/>
        </w:rPr>
        <w:t xml:space="preserve"> udgangspunkt i scenarie 1 – hovedscenariet herunder at 50 % af de nye boliger er særligt demensegnede</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a</w:t>
      </w:r>
      <w:r>
        <w:rPr>
          <w:b w:val="0"/>
          <w:i w:val="0"/>
          <w:u w:val="none"/>
          <w:vertAlign w:val="baseline"/>
        </w:rPr>
        <w:t>t der på den baggrund udarbejdes forslag til finansiering og drift under forskellige ejerformer</w:t>
      </w:r>
    </w:p>
    <w:p>
      <w:pPr>
        <w:pStyle w:val="Heading2"/>
      </w:pPr>
      <w:bookmarkEnd w:id="6"/>
      <w:r>
        <w:t>Supplerende sagsfremstilling</w:t>
      </w:r>
      <w:bookmarkStart w:id="7" w:name="DocPart322826"/>
    </w:p>
    <w:p w14:paraId="0EE3E10D" w14:textId="0D76454B">
      <w:pPr>
        <w:pBdr>
          <w:top w:val="nil"/>
          <w:left w:val="nil"/>
          <w:bottom w:val="nil"/>
          <w:right w:val="nil"/>
          <w:between w:val="nil"/>
          <w:bar w:val="nil"/>
        </w:pBdr>
        <w:rPr>
          <w:b w:val="0"/>
          <w:i w:val="0"/>
          <w:u w:val="none"/>
          <w:vertAlign w:val="baseline"/>
        </w:rPr>
      </w:pPr>
      <w:r>
        <w:rPr>
          <w:b w:val="0"/>
          <w:i w:val="0"/>
          <w:u w:val="none"/>
          <w:vertAlign w:val="baseline"/>
        </w:rPr>
        <w:t xml:space="preserve">Der er tilføjet et </w:t>
      </w:r>
      <w:r>
        <w:rPr>
          <w:b/>
          <w:i w:val="0"/>
          <w:u w:val="none"/>
          <w:vertAlign w:val="baseline"/>
        </w:rPr>
        <w:t>bilag</w:t>
      </w:r>
      <w:r>
        <w:rPr>
          <w:b/>
          <w:i w:val="0"/>
          <w:u w:val="none"/>
          <w:vertAlign w:val="baseline"/>
        </w:rPr>
        <w:t>.</w:t>
      </w:r>
    </w:p>
    <w:p>
      <w:pPr>
        <w:pStyle w:val="Heading2"/>
      </w:pPr>
      <w:bookmarkEnd w:id="7"/>
      <w:r>
        <w:t>Beslutning i Ældrerådet den 17-08-2020</w:t>
      </w:r>
      <w:bookmarkStart w:id="8" w:name="DocPart322828"/>
    </w:p>
    <w:p>
      <w:pPr>
        <w:pBdr>
          <w:top w:val="nil"/>
          <w:left w:val="nil"/>
          <w:bottom w:val="nil"/>
          <w:right w:val="nil"/>
          <w:between w:val="nil"/>
          <w:bar w:val="nil"/>
        </w:pBdr>
        <w:rPr>
          <w:b w:val="0"/>
          <w:i w:val="0"/>
          <w:u w:val="none"/>
          <w:vertAlign w:val="baseline"/>
        </w:rPr>
      </w:pPr>
      <w:r>
        <w:rPr>
          <w:b w:val="0"/>
          <w:i w:val="0"/>
          <w:u w:val="none"/>
          <w:vertAlign w:val="baseline"/>
        </w:rPr>
        <w:t>Ældrerådet er enige i indstillingen om, at arbejde videre med scenarie 1 og mener det er vigtigt, at der afholdes et borgermøde, inden der træffes politisk beslutning om det videre forløb.</w:t>
      </w:r>
    </w:p>
    <w:p>
      <w:pPr>
        <w:pBdr>
          <w:top w:val="nil"/>
          <w:left w:val="nil"/>
          <w:bottom w:val="nil"/>
          <w:right w:val="nil"/>
          <w:between w:val="nil"/>
          <w:bar w:val="nil"/>
        </w:pBdr>
        <w:rPr>
          <w:b w:val="0"/>
          <w:i/>
          <w:u w:val="none"/>
          <w:vertAlign w:val="baseline"/>
        </w:rPr>
      </w:pPr>
      <w:r>
        <w:rPr>
          <w:b w:val="0"/>
          <w:i/>
          <w:u w:val="none"/>
          <w:vertAlign w:val="baseline"/>
        </w:rPr>
        <w:t>Ej tilstede: Henrik Carlsen</w:t>
      </w:r>
    </w:p>
    <w:p>
      <w:pPr>
        <w:pStyle w:val="Subtitle"/>
      </w:pPr>
      <w:r>
        <w:br/>
      </w:r>
      <w:r>
        <w:t>Fraværende:</w:t>
      </w:r>
      <w:r>
        <w:br/>
      </w:r>
      <w:r>
        <w:t>Henrik  Carlsen</w:t>
      </w:r>
    </w:p>
    <w:p>
      <w:pPr>
        <w:pStyle w:val="Heading2"/>
      </w:pPr>
      <w:bookmarkEnd w:id="8"/>
      <w:r>
        <w:t>Beslutning i Ældre- og Genoptræningsudvalget den 17-08-2020</w:t>
      </w:r>
      <w:bookmarkStart w:id="9" w:name="DocPart322827"/>
    </w:p>
    <w:p w14:paraId="3F8D2E87" w14:textId="77777777">
      <w:pPr>
        <w:pBdr>
          <w:top w:val="nil"/>
          <w:left w:val="nil"/>
          <w:bottom w:val="nil"/>
          <w:right w:val="nil"/>
          <w:between w:val="nil"/>
          <w:bar w:val="nil"/>
        </w:pBdr>
        <w:rPr>
          <w:b w:val="0"/>
          <w:i w:val="0"/>
          <w:u w:val="none"/>
          <w:vertAlign w:val="baseline"/>
        </w:rPr>
      </w:pPr>
      <w:r>
        <w:rPr>
          <w:b w:val="0"/>
          <w:i w:val="0"/>
          <w:u w:val="none"/>
          <w:vertAlign w:val="baseline"/>
        </w:rPr>
        <w:t>Udvalget anbefaler, at der afsættes de fornødne midler til planlægningen i budgettet.</w:t>
      </w:r>
    </w:p>
    <w:p w14:paraId="3F8D2E88" w14:textId="77777777">
      <w:pPr>
        <w:pBdr>
          <w:top w:val="nil"/>
          <w:left w:val="nil"/>
          <w:bottom w:val="nil"/>
          <w:right w:val="nil"/>
          <w:between w:val="nil"/>
          <w:bar w:val="nil"/>
        </w:pBdr>
        <w:rPr>
          <w:b w:val="0"/>
          <w:i w:val="0"/>
          <w:u w:val="none"/>
          <w:vertAlign w:val="baseline"/>
        </w:rPr>
      </w:pPr>
    </w:p>
    <w:p w14:paraId="3F8D2E8B" w14:textId="116D5423">
      <w:pPr>
        <w:pBdr>
          <w:top w:val="nil"/>
          <w:left w:val="nil"/>
          <w:bottom w:val="nil"/>
          <w:right w:val="nil"/>
          <w:between w:val="nil"/>
          <w:bar w:val="nil"/>
        </w:pBdr>
        <w:rPr>
          <w:b w:val="0"/>
          <w:i w:val="0"/>
          <w:u w:val="none"/>
          <w:vertAlign w:val="baseline"/>
        </w:rPr>
      </w:pPr>
      <w:r>
        <w:rPr>
          <w:b w:val="0"/>
          <w:i w:val="0"/>
          <w:u w:val="none"/>
          <w:vertAlign w:val="baseline"/>
        </w:rPr>
        <w:t>Ad 1 og 2) Sagen genoptages, når der har været afholdt et borgermøde med baggrund i rapporten om det fremtidige plejeboligbehov.</w:t>
      </w:r>
    </w:p>
    <w:p w14:paraId="2A417405" w14:textId="2C0CAB3A">
      <w:pPr>
        <w:pBdr>
          <w:top w:val="nil"/>
          <w:left w:val="nil"/>
          <w:bottom w:val="nil"/>
          <w:right w:val="nil"/>
          <w:between w:val="nil"/>
          <w:bar w:val="nil"/>
        </w:pBdr>
        <w:rPr>
          <w:b w:val="0"/>
          <w:i w:val="0"/>
          <w:u w:val="none"/>
          <w:vertAlign w:val="baseline"/>
        </w:rPr>
      </w:pPr>
    </w:p>
    <w:p w14:paraId="7D118784" w14:textId="217DA7F4">
      <w:pPr>
        <w:pBdr>
          <w:top w:val="nil"/>
          <w:left w:val="nil"/>
          <w:bottom w:val="nil"/>
          <w:right w:val="nil"/>
          <w:between w:val="nil"/>
          <w:bar w:val="nil"/>
        </w:pBdr>
        <w:rPr>
          <w:b w:val="0"/>
          <w:i/>
          <w:u w:val="none"/>
          <w:vertAlign w:val="baseline"/>
        </w:rPr>
      </w:pPr>
      <w:r>
        <w:rPr>
          <w:b w:val="0"/>
          <w:i/>
          <w:u w:val="none"/>
          <w:vertAlign w:val="baseline"/>
        </w:rPr>
        <w:t>Ej til stede: Tina-Mia Eriksen</w:t>
      </w:r>
    </w:p>
    <w:p w14:paraId="3F8D2E8C" w14:textId="77777777">
      <w:pPr>
        <w:pBdr>
          <w:top w:val="nil"/>
          <w:left w:val="nil"/>
          <w:bottom w:val="nil"/>
          <w:right w:val="nil"/>
          <w:between w:val="nil"/>
          <w:bar w:val="nil"/>
        </w:pBdr>
        <w:rPr>
          <w:b w:val="0"/>
          <w:i w:val="0"/>
          <w:u w:val="none"/>
          <w:vertAlign w:val="baseline"/>
        </w:rPr>
      </w:pPr>
    </w:p>
    <w:p>
      <w:pPr>
        <w:pStyle w:val="Subtitle"/>
      </w:pPr>
      <w:r>
        <w:br/>
      </w:r>
      <w:r>
        <w:t>Fraværende:</w:t>
      </w:r>
      <w:r>
        <w:br/>
      </w:r>
      <w:r>
        <w:t>Tina-Mia Eriksen (tmer) C</w:t>
      </w:r>
    </w:p>
    <w:p>
      <w:bookmarkEnd w:id="9"/>
    </w:p>
    <w:p w:rsidR="00C50E4A" w:rsidRPr="00C50E4A" w:rsidP="00C50E4A">
      <w:pPr>
        <w:pStyle w:val="TOAHeading"/>
        <w:jc w:val="left"/>
        <w:rPr>
          <w:rStyle w:val="IntenseReference"/>
          <w:b w:val="0"/>
          <w:bCs w:val="0"/>
          <w:smallCaps w:val="0"/>
          <w:color w:val="auto"/>
          <w:spacing w:val="0"/>
        </w:rPr>
      </w:pPr>
    </w:p>
    <w:sectPr>
      <w:headerReference w:type="default" r:id="rI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A2B" w:rsidP="00626699">
    <w:pPr>
      <w:pStyle w:val="Header"/>
      <w:jc w:val="center"/>
    </w:pPr>
    <w:r w:rsidRPr="00626699">
      <w:t>Ældre- og Genoptræningsudvalget</w:t>
    </w:r>
    <w:r w:rsidRPr="00626699">
      <w:t xml:space="preserve"> </w:t>
    </w:r>
  </w:p>
  <w:p w:rsidR="008653BD" w:rsidRPr="00626699" w:rsidP="00626699">
    <w:pPr>
      <w:pStyle w:val="Header"/>
      <w:jc w:val="center"/>
    </w:pPr>
    <w:r w:rsidRPr="00626699">
      <w:t>19-10-2020 17:30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0162E9C"/>
    <w:lvl w:ilvl="0">
      <w:start w:val="1"/>
      <w:numFmt w:val="decimal"/>
      <w:lvlText w:val="%1."/>
      <w:lvlJc w:val="left"/>
      <w:pPr>
        <w:tabs>
          <w:tab w:val="num" w:pos="1492"/>
        </w:tabs>
        <w:ind w:left="1492" w:hanging="360"/>
      </w:pPr>
    </w:lvl>
  </w:abstractNum>
  <w:abstractNum w:abstractNumId="1">
    <w:nsid w:val="FFFFFF7D"/>
    <w:multiLevelType w:val="singleLevel"/>
    <w:tmpl w:val="BF9E8934"/>
    <w:lvl w:ilvl="0">
      <w:start w:val="1"/>
      <w:numFmt w:val="decimal"/>
      <w:lvlText w:val="%1."/>
      <w:lvlJc w:val="left"/>
      <w:pPr>
        <w:tabs>
          <w:tab w:val="num" w:pos="1209"/>
        </w:tabs>
        <w:ind w:left="1209" w:hanging="360"/>
      </w:pPr>
    </w:lvl>
  </w:abstractNum>
  <w:abstractNum w:abstractNumId="2">
    <w:nsid w:val="FFFFFF7E"/>
    <w:multiLevelType w:val="singleLevel"/>
    <w:tmpl w:val="BD9ECCC8"/>
    <w:lvl w:ilvl="0">
      <w:start w:val="1"/>
      <w:numFmt w:val="decimal"/>
      <w:lvlText w:val="%1."/>
      <w:lvlJc w:val="left"/>
      <w:pPr>
        <w:tabs>
          <w:tab w:val="num" w:pos="926"/>
        </w:tabs>
        <w:ind w:left="926" w:hanging="360"/>
      </w:pPr>
    </w:lvl>
  </w:abstractNum>
  <w:abstractNum w:abstractNumId="3">
    <w:nsid w:val="FFFFFF7F"/>
    <w:multiLevelType w:val="singleLevel"/>
    <w:tmpl w:val="3F0E7812"/>
    <w:lvl w:ilvl="0">
      <w:start w:val="1"/>
      <w:numFmt w:val="decimal"/>
      <w:lvlText w:val="%1."/>
      <w:lvlJc w:val="left"/>
      <w:pPr>
        <w:tabs>
          <w:tab w:val="num" w:pos="643"/>
        </w:tabs>
        <w:ind w:left="643" w:hanging="360"/>
      </w:pPr>
    </w:lvl>
  </w:abstractNum>
  <w:abstractNum w:abstractNumId="4">
    <w:nsid w:val="FFFFFF80"/>
    <w:multiLevelType w:val="singleLevel"/>
    <w:tmpl w:val="2152C1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081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F809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F65F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8A6724"/>
    <w:lvl w:ilvl="0">
      <w:start w:val="1"/>
      <w:numFmt w:val="decimal"/>
      <w:lvlText w:val="%1."/>
      <w:lvlJc w:val="left"/>
      <w:pPr>
        <w:tabs>
          <w:tab w:val="num" w:pos="360"/>
        </w:tabs>
        <w:ind w:left="360" w:hanging="360"/>
      </w:pPr>
    </w:lvl>
  </w:abstractNum>
  <w:abstractNum w:abstractNumId="9">
    <w:nsid w:val="FFFFFF89"/>
    <w:multiLevelType w:val="singleLevel"/>
    <w:tmpl w:val="6BB6948C"/>
    <w:lvl w:ilvl="0">
      <w:start w:val="1"/>
      <w:numFmt w:val="bullet"/>
      <w:lvlText w:val=""/>
      <w:lvlJc w:val="left"/>
      <w:pPr>
        <w:tabs>
          <w:tab w:val="num" w:pos="360"/>
        </w:tabs>
        <w:ind w:left="360" w:hanging="360"/>
      </w:pPr>
      <w:rPr>
        <w:rFonts w:ascii="Symbol" w:hAnsi="Symbol" w:hint="default"/>
      </w:rPr>
    </w:lvl>
  </w:abstractNum>
  <w:abstractNum w:abstractNumId="10">
    <w:nsid w:val="0F6C5E23"/>
    <w:multiLevelType w:val="hybridMultilevel"/>
    <w:tmpl w:val="67EC3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914F5B"/>
    <w:multiLevelType w:val="hybridMultilevel"/>
    <w:tmpl w:val="2D2EA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E20BFE"/>
    <w:multiLevelType w:val="hybridMultilevel"/>
    <w:tmpl w:val="97D2EC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AC1F39"/>
    <w:multiLevelType w:val="hybridMultilevel"/>
    <w:tmpl w:val="F9C49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4"/>
    <w:rsid w:val="000416C5"/>
    <w:rsid w:val="001A65DE"/>
    <w:rsid w:val="00243B78"/>
    <w:rsid w:val="002F3C09"/>
    <w:rsid w:val="00352854"/>
    <w:rsid w:val="003B5A2B"/>
    <w:rsid w:val="005150BE"/>
    <w:rsid w:val="00622A6E"/>
    <w:rsid w:val="00626699"/>
    <w:rsid w:val="007931D6"/>
    <w:rsid w:val="00857BEF"/>
    <w:rsid w:val="008653BD"/>
    <w:rsid w:val="0096508D"/>
    <w:rsid w:val="00A22668"/>
    <w:rsid w:val="00A77B3E"/>
    <w:rsid w:val="00AD58C3"/>
    <w:rsid w:val="00B16F92"/>
    <w:rsid w:val="00B91F22"/>
    <w:rsid w:val="00C50E4A"/>
    <w:rsid w:val="00E921EF"/>
    <w:rsid w:val="00FA761C"/>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oa heading"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B5A2B"/>
    <w:pPr>
      <w:spacing w:after="0" w:line="240" w:lineRule="auto"/>
    </w:pPr>
    <w:rPr>
      <w:rFonts w:ascii="Arial" w:hAnsi="Arial"/>
    </w:rPr>
  </w:style>
  <w:style w:type="paragraph" w:styleId="Heading1">
    <w:name w:val="heading 1"/>
    <w:basedOn w:val="Normal"/>
    <w:next w:val="Normal"/>
    <w:link w:val="Overskrift1Tegn"/>
    <w:uiPriority w:val="9"/>
    <w:rsid w:val="003B5A2B"/>
    <w:pPr>
      <w:keepNext/>
      <w:keepLines/>
      <w:spacing w:before="240" w:after="60"/>
      <w:outlineLvl w:val="0"/>
    </w:pPr>
    <w:rPr>
      <w:rFonts w:eastAsiaTheme="majorEastAsia" w:cstheme="majorBidi"/>
      <w:b/>
      <w:sz w:val="28"/>
      <w:szCs w:val="32"/>
    </w:rPr>
  </w:style>
  <w:style w:type="paragraph" w:styleId="Heading2">
    <w:name w:val="heading 2"/>
    <w:basedOn w:val="Normal"/>
    <w:next w:val="Normal"/>
    <w:link w:val="Overskrift2Tegn"/>
    <w:uiPriority w:val="9"/>
    <w:unhideWhenUsed/>
    <w:rsid w:val="003B5A2B"/>
    <w:pPr>
      <w:keepNext/>
      <w:keepLines/>
      <w:spacing w:before="120" w:after="60"/>
      <w:outlineLvl w:val="1"/>
    </w:pPr>
    <w:rPr>
      <w:rFonts w:eastAsiaTheme="majorEastAsia" w:cstheme="majorBidi"/>
      <w:b/>
      <w:szCs w:val="26"/>
    </w:rPr>
  </w:style>
  <w:style w:type="paragraph" w:styleId="Heading3">
    <w:name w:val="heading 3"/>
    <w:basedOn w:val="Normal"/>
    <w:next w:val="Normal"/>
    <w:link w:val="Overskrift3Tegn"/>
    <w:uiPriority w:val="9"/>
    <w:unhideWhenUsed/>
    <w:rsid w:val="00C50E4A"/>
    <w:pPr>
      <w:keepNext/>
      <w:keepLines/>
      <w:outlineLvl w:val="2"/>
    </w:pPr>
    <w:rPr>
      <w:rFonts w:eastAsiaTheme="majorEastAsia" w:cstheme="majorBidi"/>
      <w:b/>
      <w:szCs w:val="24"/>
    </w:rPr>
  </w:style>
  <w:style w:type="paragraph" w:styleId="Heading4">
    <w:name w:val="heading 4"/>
    <w:basedOn w:val="Normal"/>
    <w:next w:val="Normal"/>
    <w:link w:val="Overskrift4Tegn"/>
    <w:uiPriority w:val="9"/>
    <w:unhideWhenUsed/>
    <w:rsid w:val="002F3C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ehovedTegn"/>
    <w:uiPriority w:val="99"/>
    <w:unhideWhenUsed/>
    <w:rsid w:val="008653BD"/>
    <w:pPr>
      <w:tabs>
        <w:tab w:val="center" w:pos="4819"/>
        <w:tab w:val="right" w:pos="9638"/>
      </w:tabs>
    </w:pPr>
  </w:style>
  <w:style w:type="character" w:customStyle="1" w:styleId="SidehovedTegn">
    <w:name w:val="Sidehoved Tegn"/>
    <w:basedOn w:val="DefaultParagraphFont"/>
    <w:link w:val="Header"/>
    <w:uiPriority w:val="99"/>
    <w:rsid w:val="008653BD"/>
  </w:style>
  <w:style w:type="paragraph" w:styleId="Footer">
    <w:name w:val="footer"/>
    <w:basedOn w:val="Normal"/>
    <w:link w:val="SidefodTegn"/>
    <w:uiPriority w:val="99"/>
    <w:unhideWhenUsed/>
    <w:rsid w:val="008653BD"/>
    <w:pPr>
      <w:tabs>
        <w:tab w:val="center" w:pos="4819"/>
        <w:tab w:val="right" w:pos="9638"/>
      </w:tabs>
    </w:pPr>
  </w:style>
  <w:style w:type="character" w:customStyle="1" w:styleId="SidefodTegn">
    <w:name w:val="Sidefod Tegn"/>
    <w:basedOn w:val="DefaultParagraphFont"/>
    <w:link w:val="Footer"/>
    <w:uiPriority w:val="99"/>
    <w:rsid w:val="008653BD"/>
  </w:style>
  <w:style w:type="character" w:customStyle="1" w:styleId="Overskrift1Tegn">
    <w:name w:val="Overskrift 1 Tegn"/>
    <w:basedOn w:val="DefaultParagraphFont"/>
    <w:link w:val="Heading1"/>
    <w:uiPriority w:val="9"/>
    <w:rsid w:val="003B5A2B"/>
    <w:rPr>
      <w:rFonts w:ascii="Arial" w:hAnsi="Arial" w:eastAsiaTheme="majorEastAsia" w:cstheme="majorBidi"/>
      <w:b/>
      <w:sz w:val="28"/>
      <w:szCs w:val="32"/>
    </w:rPr>
  </w:style>
  <w:style w:type="character" w:customStyle="1" w:styleId="Overskrift2Tegn">
    <w:name w:val="Overskrift 2 Tegn"/>
    <w:basedOn w:val="DefaultParagraphFont"/>
    <w:link w:val="Heading2"/>
    <w:uiPriority w:val="9"/>
    <w:rsid w:val="003B5A2B"/>
    <w:rPr>
      <w:rFonts w:ascii="Arial" w:hAnsi="Arial" w:eastAsiaTheme="majorEastAsia" w:cstheme="majorBidi"/>
      <w:b/>
      <w:szCs w:val="26"/>
    </w:rPr>
  </w:style>
  <w:style w:type="character" w:customStyle="1" w:styleId="Overskrift3Tegn">
    <w:name w:val="Overskrift 3 Tegn"/>
    <w:basedOn w:val="DefaultParagraphFont"/>
    <w:link w:val="Heading3"/>
    <w:uiPriority w:val="9"/>
    <w:rsid w:val="00C50E4A"/>
    <w:rPr>
      <w:rFonts w:ascii="Arial" w:hAnsi="Arial" w:eastAsiaTheme="majorEastAsia" w:cstheme="majorBidi"/>
      <w:b/>
      <w:szCs w:val="24"/>
    </w:rPr>
  </w:style>
  <w:style w:type="paragraph" w:styleId="NoSpacing">
    <w:name w:val="No Spacing"/>
    <w:uiPriority w:val="1"/>
    <w:rsid w:val="002F3C09"/>
    <w:pPr>
      <w:spacing w:after="0" w:line="240" w:lineRule="auto"/>
    </w:pPr>
    <w:rPr>
      <w:rFonts w:ascii="Verdana" w:hAnsi="Verdana"/>
      <w:sz w:val="20"/>
    </w:rPr>
  </w:style>
  <w:style w:type="character" w:customStyle="1" w:styleId="Overskrift4Tegn">
    <w:name w:val="Overskrift 4 Tegn"/>
    <w:basedOn w:val="DefaultParagraphFont"/>
    <w:link w:val="Heading4"/>
    <w:uiPriority w:val="9"/>
    <w:rsid w:val="002F3C09"/>
    <w:rPr>
      <w:rFonts w:asciiTheme="majorHAnsi" w:eastAsiaTheme="majorEastAsia" w:hAnsiTheme="majorHAnsi" w:cstheme="majorBidi"/>
      <w:i/>
      <w:iCs/>
      <w:color w:val="2E74B5" w:themeColor="accent1" w:themeShade="BF"/>
      <w:sz w:val="20"/>
    </w:rPr>
  </w:style>
  <w:style w:type="paragraph" w:styleId="Title">
    <w:name w:val="Title"/>
    <w:basedOn w:val="Normal"/>
    <w:next w:val="Normal"/>
    <w:link w:val="TitelTegn"/>
    <w:uiPriority w:val="10"/>
    <w:rsid w:val="002F3C0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DefaultParagraphFont"/>
    <w:link w:val="Title"/>
    <w:uiPriority w:val="10"/>
    <w:rsid w:val="002F3C09"/>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elTegn"/>
    <w:uiPriority w:val="11"/>
    <w:rsid w:val="002F3C09"/>
    <w:pPr>
      <w:numPr>
        <w:ilvl w:val="1"/>
      </w:numPr>
      <w:spacing w:after="160"/>
    </w:pPr>
    <w:rPr>
      <w:rFonts w:asciiTheme="minorHAnsi" w:eastAsiaTheme="minorEastAsia" w:hAnsiTheme="minorHAnsi"/>
      <w:color w:val="5A5A5A" w:themeColor="text1" w:themeTint="A5"/>
      <w:spacing w:val="15"/>
    </w:rPr>
  </w:style>
  <w:style w:type="character" w:customStyle="1" w:styleId="UndertitelTegn">
    <w:name w:val="Undertitel Tegn"/>
    <w:basedOn w:val="DefaultParagraphFont"/>
    <w:link w:val="Subtitle"/>
    <w:uiPriority w:val="11"/>
    <w:rsid w:val="002F3C09"/>
    <w:rPr>
      <w:rFonts w:eastAsiaTheme="minorEastAsia"/>
      <w:color w:val="5A5A5A" w:themeColor="text1" w:themeTint="A5"/>
      <w:spacing w:val="15"/>
    </w:rPr>
  </w:style>
  <w:style w:type="character" w:styleId="SubtleEmphasis">
    <w:name w:val="Subtle Emphasis"/>
    <w:basedOn w:val="DefaultParagraphFont"/>
    <w:uiPriority w:val="19"/>
    <w:rsid w:val="002F3C09"/>
    <w:rPr>
      <w:i/>
      <w:iCs/>
      <w:color w:val="404040" w:themeColor="text1" w:themeTint="BF"/>
    </w:rPr>
  </w:style>
  <w:style w:type="character" w:styleId="Emphasis">
    <w:name w:val="Emphasis"/>
    <w:basedOn w:val="DefaultParagraphFont"/>
    <w:uiPriority w:val="20"/>
    <w:rsid w:val="002F3C09"/>
    <w:rPr>
      <w:i/>
      <w:iCs/>
    </w:rPr>
  </w:style>
  <w:style w:type="character" w:styleId="IntenseEmphasis">
    <w:name w:val="Intense Emphasis"/>
    <w:basedOn w:val="DefaultParagraphFont"/>
    <w:uiPriority w:val="21"/>
    <w:rsid w:val="002F3C09"/>
    <w:rPr>
      <w:i/>
      <w:iCs/>
      <w:color w:val="5B9BD5" w:themeColor="accent1"/>
    </w:rPr>
  </w:style>
  <w:style w:type="character" w:styleId="Strong">
    <w:name w:val="Strong"/>
    <w:basedOn w:val="DefaultParagraphFont"/>
    <w:uiPriority w:val="22"/>
    <w:rsid w:val="002F3C09"/>
    <w:rPr>
      <w:b/>
      <w:bCs/>
    </w:rPr>
  </w:style>
  <w:style w:type="paragraph" w:styleId="Quote">
    <w:name w:val="Quote"/>
    <w:basedOn w:val="Normal"/>
    <w:next w:val="Normal"/>
    <w:link w:val="CitatTegn"/>
    <w:uiPriority w:val="29"/>
    <w:rsid w:val="002F3C09"/>
    <w:pPr>
      <w:spacing w:before="200" w:after="160"/>
      <w:ind w:left="864" w:right="864"/>
      <w:jc w:val="center"/>
    </w:pPr>
    <w:rPr>
      <w:i/>
      <w:iCs/>
      <w:color w:val="404040" w:themeColor="text1" w:themeTint="BF"/>
    </w:rPr>
  </w:style>
  <w:style w:type="character" w:customStyle="1" w:styleId="CitatTegn">
    <w:name w:val="Citat Tegn"/>
    <w:basedOn w:val="DefaultParagraphFont"/>
    <w:link w:val="Quote"/>
    <w:uiPriority w:val="29"/>
    <w:rsid w:val="002F3C09"/>
    <w:rPr>
      <w:rFonts w:ascii="Verdana" w:hAnsi="Verdana"/>
      <w:i/>
      <w:iCs/>
      <w:color w:val="404040" w:themeColor="text1" w:themeTint="BF"/>
      <w:sz w:val="20"/>
    </w:rPr>
  </w:style>
  <w:style w:type="paragraph" w:styleId="IntenseQuote">
    <w:name w:val="Intense Quote"/>
    <w:basedOn w:val="Normal"/>
    <w:next w:val="Normal"/>
    <w:link w:val="StrktcitatTegn"/>
    <w:uiPriority w:val="30"/>
    <w:rsid w:val="002F3C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DefaultParagraphFont"/>
    <w:link w:val="IntenseQuote"/>
    <w:uiPriority w:val="30"/>
    <w:rsid w:val="002F3C09"/>
    <w:rPr>
      <w:rFonts w:ascii="Verdana" w:hAnsi="Verdana"/>
      <w:i/>
      <w:iCs/>
      <w:color w:val="5B9BD5" w:themeColor="accent1"/>
      <w:sz w:val="20"/>
    </w:rPr>
  </w:style>
  <w:style w:type="character" w:styleId="SubtleReference">
    <w:name w:val="Subtle Reference"/>
    <w:basedOn w:val="DefaultParagraphFont"/>
    <w:uiPriority w:val="31"/>
    <w:rsid w:val="002F3C09"/>
    <w:rPr>
      <w:smallCaps/>
      <w:color w:val="5A5A5A" w:themeColor="text1" w:themeTint="A5"/>
    </w:rPr>
  </w:style>
  <w:style w:type="character" w:styleId="IntenseReference">
    <w:name w:val="Intense Reference"/>
    <w:basedOn w:val="DefaultParagraphFont"/>
    <w:uiPriority w:val="32"/>
    <w:rsid w:val="002F3C09"/>
    <w:rPr>
      <w:b/>
      <w:bCs/>
      <w:smallCaps/>
      <w:color w:val="5B9BD5" w:themeColor="accent1"/>
      <w:spacing w:val="5"/>
    </w:rPr>
  </w:style>
  <w:style w:type="paragraph" w:styleId="ListParagraph">
    <w:name w:val="List Paragraph"/>
    <w:basedOn w:val="Normal"/>
    <w:uiPriority w:val="34"/>
    <w:rsid w:val="002F3C09"/>
    <w:pPr>
      <w:ind w:left="720"/>
      <w:contextualSpacing/>
    </w:pPr>
  </w:style>
  <w:style w:type="paragraph" w:styleId="NormalWeb">
    <w:name w:val="Normal (Web)"/>
    <w:basedOn w:val="Normal"/>
    <w:uiPriority w:val="99"/>
    <w:semiHidden/>
    <w:unhideWhenUsed/>
    <w:rsid w:val="003B5A2B"/>
    <w:rPr>
      <w:rFonts w:cs="Times New Roman"/>
      <w:szCs w:val="24"/>
    </w:rPr>
  </w:style>
  <w:style w:type="paragraph" w:styleId="TableofAuthorities">
    <w:name w:val="table of authorities"/>
    <w:aliases w:val="Centreret"/>
    <w:basedOn w:val="Normal"/>
    <w:next w:val="Normal"/>
    <w:uiPriority w:val="99"/>
    <w:unhideWhenUsed/>
    <w:qFormat/>
    <w:rsid w:val="00C50E4A"/>
    <w:pPr>
      <w:jc w:val="center"/>
    </w:pPr>
    <w:rPr>
      <w:lang w:val="en-US"/>
    </w:rPr>
  </w:style>
  <w:style w:type="paragraph" w:styleId="TOAHeading">
    <w:name w:val="toa heading"/>
    <w:aliases w:val="højrejustering"/>
    <w:basedOn w:val="Normal"/>
    <w:next w:val="Normal"/>
    <w:uiPriority w:val="99"/>
    <w:unhideWhenUsed/>
    <w:qFormat/>
    <w:rsid w:val="00C50E4A"/>
    <w:pPr>
      <w:jc w:val="right"/>
    </w:pPr>
    <w:rPr>
      <w:lang w:val="en-US"/>
    </w:rPr>
  </w:style>
  <w:style w:type="table" w:styleId="TableGrid">
    <w:name w:val="Table Grid"/>
    <w:basedOn w:val="TableNormal"/>
    <w:uiPriority w:val="39"/>
    <w:rsid w:val="000C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AgendaItemDocumentTemplate.dotx</Template>
  <TotalTime>49</TotalTime>
  <Pages>1</Pages>
  <Words>25</Words>
  <Characters>157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qaadmin</dc:creator>
  <cp:lastModifiedBy>Acadre-prod</cp:lastModifiedBy>
  <cp:revision>18</cp:revision>
  <dcterms:created xsi:type="dcterms:W3CDTF">2017-10-03T12:10:00Z</dcterms:created>
  <dcterms:modified xsi:type="dcterms:W3CDTF">2018-10-24T07:20:00Z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{CD3566C3-F64C-4187-AD57-7456E8DF8203}</vt:lpwstr>
  </property>
</Properties>
</file>