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F6" w:rsidRDefault="00260BF6" w:rsidP="00CE0721">
      <w:pPr>
        <w:pStyle w:val="Overskrift1"/>
      </w:pPr>
      <w:bookmarkStart w:id="0" w:name="_GoBack"/>
      <w:bookmarkEnd w:id="0"/>
      <w:r>
        <w:t>A</w:t>
      </w:r>
      <w:r>
        <w:t xml:space="preserve">nbefalinger fra </w:t>
      </w:r>
      <w:r>
        <w:t xml:space="preserve">det lokale </w:t>
      </w:r>
      <w:r>
        <w:t xml:space="preserve">naturråd til Grønt Danmarkskort </w:t>
      </w:r>
    </w:p>
    <w:p w:rsidR="00260BF6" w:rsidRDefault="00260BF6" w:rsidP="00260BF6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Fælles anbefalinger fra lokalt naturråd 17                                   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1.      Grønt Danmarkskort er et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dynamisk kort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, der løbende kan tilpasses naturudviklingen.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2.     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Offentlige arealer skal indgå i udpegningen af Grønt Danmarkskort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3.      Udpegninger skal ske i en proces, hvor der er stor fokus på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lodsejersamarbejde og borgerinddragelse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4.      Alle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Natura 2000-områder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skal udpeges som områder med særlige naturbeskyttelsesinteresser og tilstræbes styrket.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5.      Områder med 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høj artsscore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tilstræbes udpeget som områder med særlige naturbeskyttelsesinteresser.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6.     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Større § 3-beskyttet natur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, som ligger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 xml:space="preserve"> inden for eller umiddelbart op ad arealer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, hvor der er 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høj artsscore,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skal udpeges som områder med særlige naturbeskyttelsesinteresser.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7.    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 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Fredninger, hvor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formålet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med fredningen er at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sikre et højt naturindhold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, kan udpeges som områder med særlige naturbeskyttelsesinteresser og tilstræbes styrket.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8.     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Offentligt ejede skove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kan udpeges som områder med særlige naturbeskyttelsesinteresser.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9.      Arealer, som er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vigtige korridorer for truede arter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inden for områder med særlige naturbeskyttelsesinteresser, kan udpeges som økologiske forbindelser.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10.  På offentligt ejede arealer, hvor der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udvikles friluftsliv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, kan økologiske forbindelser udpeges. 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11.  Udvikling af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turisme og friluftsliv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kan indgå i udpegningen af Grønt Danmarkskort, hvor naturområder kan bære rekreativ benyttelse.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12.  Udpegningsmuligheder med hensyn til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tilbageholdelse af vand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i forbindelse med skybrudssituationer, klimasikring og miljøprojekter kan undersøges i ådale og/eller på lavbundsjorde.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13.  Fokus på udpegning af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 xml:space="preserve">sammenhængende arealer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– arealstørrelsen er vigtig, det skal ikke være for små arealer, men husk stadig § 3.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lastRenderedPageBreak/>
        <w:t xml:space="preserve">14. 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Naturarealer i ådale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med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høj artscore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kan udpeges.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Yderligere anbefalinger fra Naturrådet:</w:t>
      </w:r>
    </w:p>
    <w:p w:rsidR="00260BF6" w:rsidRPr="00260BF6" w:rsidRDefault="00260BF6" w:rsidP="00260BF6">
      <w:pPr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Arial"/>
          <w:color w:val="000000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Etablering af national jordfond fx til erstatningsjorde, jordbytte med videre. </w:t>
      </w:r>
    </w:p>
    <w:p w:rsidR="00260BF6" w:rsidRPr="00260BF6" w:rsidRDefault="00260BF6" w:rsidP="00260BF6">
      <w:pPr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Arial"/>
          <w:color w:val="000000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Nedsættelse af rådgivende organ, der skal hjælpe, politikere, lodsejere og interessenter med at realisering af projekter indenfor det Grønne Danmarkskort.</w:t>
      </w:r>
    </w:p>
    <w:p w:rsidR="00260BF6" w:rsidRDefault="00260BF6" w:rsidP="00260BF6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Medlemmerne, som varetager </w:t>
      </w:r>
      <w:r w:rsidRPr="00260BF6">
        <w:rPr>
          <w:rFonts w:eastAsia="Times New Roman"/>
          <w:i/>
          <w:lang w:eastAsia="da-DK"/>
        </w:rPr>
        <w:t>erhvervsinteresserne</w:t>
      </w:r>
      <w:r>
        <w:rPr>
          <w:rFonts w:eastAsia="Times New Roman"/>
          <w:lang w:eastAsia="da-DK"/>
        </w:rPr>
        <w:t>, har følgende yderligere input: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 Forudsætninger: 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1.      Ikke lovgiven udpegning bør ske på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offentligt ejede arealer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. 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2.      Ikke lovgiven udpegning af privatejede arealer kan alene ske på baggrund af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frivillighed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og mod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fuld økonomisk kompensation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. 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3.      Kommunerne er forpligtede til at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afveje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udpegningen af konkrete nye naturområder mod en række andre hensyn – f.eks. væsentlige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erhvervsinteresser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såsom intensivt drevne land- og skovbrugsarealer eller udpegede udviklingsområder.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Hvad der skal udpeges som områder med særlige naturbeskyttelsesinteresser: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1.      Den del af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nationalparkerne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, der ligger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inden for eller umiddelbart op ad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nedenstående pkt. 3. om udpegningsarealer for eksisterende naturområder med særlig naturbeskyttelsesinteresser (artsscore).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 2.    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 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Arealer nærmere end 1,5 km fra husdyrholdsejendomme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– samme kriterium, som Miljøstyrelsen har benyttet ved grænseændringen af Natura-2000 arealer i 2017 -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kan ikke udpeges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3.      Arealer, hvor der er 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artsscore på mindst 8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.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ascii="Century Gothic" w:eastAsia="Times New Roman" w:hAnsi="Century Gothic" w:cs="Century Gothic"/>
          <w:color w:val="000000"/>
          <w:sz w:val="24"/>
          <w:szCs w:val="24"/>
          <w:lang w:eastAsia="da-DK"/>
        </w:rPr>
        <w:t> </w:t>
      </w:r>
      <w:r>
        <w:rPr>
          <w:rFonts w:eastAsia="Times New Roman"/>
          <w:lang w:eastAsia="da-DK"/>
        </w:rPr>
        <w:t>Hvad der skal udpeges som potentielle naturområder: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1.      Arealudpegning, hvor der er en kombination af 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artsscore på mindst 8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og 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bioscore på mindst 15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. 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Hvad der skal udpeges som økologiske forbindelser og potentielle økologiske forbindelser: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1.      Udpegning skal ikke rutinemæssigt ske som faste korridorer (Vejle-modellen med 300 m brede forbindelseslinjer) men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ske i henhold til udpegede arters spredningsmulighed og -måde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. Eksempelvis skal en sommerfuglebestand have ”trædesten” i passende koloniseringsafstand for netop denne art, og ikke en bred korridor.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2.      Udpegning skal kun ske i 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afstand fra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den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eksisterende naturudpegning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, der af eksperter vurderes som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værende sandsynlig for arten at kan kolonisere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inden for tidshorisonten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frem til år 2021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, hvor Grønt Danmarkskort igen revideres.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lastRenderedPageBreak/>
        <w:t> 3.      Udpegning bør ske</w:t>
      </w:r>
      <w:r w:rsidRPr="00260BF6">
        <w:rPr>
          <w:rFonts w:asciiTheme="minorHAnsi" w:eastAsia="Times New Roman" w:hAnsiTheme="minorHAnsi" w:cs="Century Gothic"/>
          <w:b/>
          <w:bCs/>
          <w:color w:val="000000"/>
          <w:szCs w:val="20"/>
          <w:lang w:eastAsia="da-DK"/>
        </w:rPr>
        <w:t xml:space="preserve">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”indad”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mellem eksisterende naturområder i stedet for udad og væk fra disse, idet man samtidig husker, at eksperter ikke vurderer værdien af korridorer særlig højt i forhold til at gøre noget ved kerneområderne </w:t>
      </w:r>
    </w:p>
    <w:p w:rsidR="00260BF6" w:rsidRDefault="00260BF6" w:rsidP="00260BF6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Medlemmerne, som varetager </w:t>
      </w:r>
      <w:r w:rsidRPr="00260BF6">
        <w:rPr>
          <w:rFonts w:eastAsia="Times New Roman"/>
          <w:i/>
          <w:lang w:eastAsia="da-DK"/>
        </w:rPr>
        <w:t>natur, miljø og fritidsinteresser</w:t>
      </w:r>
      <w:r>
        <w:rPr>
          <w:rFonts w:eastAsia="Times New Roman"/>
          <w:lang w:eastAsia="da-DK"/>
        </w:rPr>
        <w:t>, har yderligere input: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Hvad der skal udpeges som områder med særlige naturbeskyttelsesinteresser: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1.      Fokus også på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naturpotentialet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, man skal ikke glemme områder med moderate naturindhold.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2.      Alle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åbne vandløb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har værdi i forhold til stort naturindhold og bør udpeges.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3.     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 xml:space="preserve">Ådalene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skal udpeges sammen med de åbne vandløb.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4.      Områder med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artscore på mindst 5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skal udpeges som områder med særlige naturinteresser </w:t>
      </w:r>
    </w:p>
    <w:p w:rsidR="00260BF6" w:rsidRDefault="00260BF6" w:rsidP="00260BF6">
      <w:pPr>
        <w:pStyle w:val="Overskrift3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Hvad der skal udpeges som potentielle naturområder, økologiske forbindelser og potentielle økologiske forbindelser: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1.      Alle udpegede områder med særlige naturbeskyttelsesinteresser har brug for sprøjtefri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 xml:space="preserve">bufferzoner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- især sårbar natur. Dette er særlig vigtigt for at fremme insekter og beskytte den næringsfattige natur.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2.      Fokus på at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genåbne vandløb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>, da dette medfører større vandreservoirs og skaber dynamik mellem udvikling af naturen og tiltag mod klimaforandringer.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3.      Fokus på udpegning af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>gamle naturområder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 (især skov), da de har størst biodiversitet.</w:t>
      </w:r>
    </w:p>
    <w:p w:rsidR="00260BF6" w:rsidRPr="00260BF6" w:rsidRDefault="00260BF6" w:rsidP="00CE0721">
      <w:pPr>
        <w:autoSpaceDE w:val="0"/>
        <w:autoSpaceDN w:val="0"/>
        <w:adjustRightInd w:val="0"/>
        <w:spacing w:before="240" w:line="240" w:lineRule="auto"/>
        <w:rPr>
          <w:rFonts w:asciiTheme="minorHAnsi" w:eastAsia="Times New Roman" w:hAnsiTheme="minorHAnsi" w:cs="Century Gothic"/>
          <w:szCs w:val="20"/>
          <w:lang w:eastAsia="da-DK"/>
        </w:rPr>
      </w:pP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 4.      </w:t>
      </w:r>
      <w:r w:rsidRPr="00260BF6">
        <w:rPr>
          <w:rFonts w:asciiTheme="minorHAnsi" w:eastAsia="Times New Roman" w:hAnsiTheme="minorHAnsi" w:cs="Century Gothic"/>
          <w:i/>
          <w:iCs/>
          <w:color w:val="000000"/>
          <w:szCs w:val="20"/>
          <w:lang w:eastAsia="da-DK"/>
        </w:rPr>
        <w:t xml:space="preserve">Kystzonen </w:t>
      </w:r>
      <w:r w:rsidRPr="00260BF6">
        <w:rPr>
          <w:rFonts w:asciiTheme="minorHAnsi" w:eastAsia="Times New Roman" w:hAnsiTheme="minorHAnsi" w:cs="Century Gothic"/>
          <w:color w:val="000000"/>
          <w:szCs w:val="20"/>
          <w:lang w:eastAsia="da-DK"/>
        </w:rPr>
        <w:t xml:space="preserve">(300 meter ind i land) bør indgå som økologisk forbindelse, da kystlinjerne udgør sammenhængende natur, som fungerer som grøn korridor.  </w:t>
      </w:r>
    </w:p>
    <w:p w:rsidR="00260BF6" w:rsidRPr="008562C7" w:rsidRDefault="00260BF6" w:rsidP="00CE0721"/>
    <w:p w:rsidR="00260BF6" w:rsidRDefault="00260BF6"/>
    <w:p w:rsidR="00EB73D3" w:rsidRPr="00260BF6" w:rsidRDefault="00EB73D3" w:rsidP="00EB73D3"/>
    <w:p w:rsidR="00096480" w:rsidRPr="00260BF6" w:rsidRDefault="00096480" w:rsidP="00EB73D3"/>
    <w:sectPr w:rsidR="00096480" w:rsidRPr="00260BF6" w:rsidSect="00171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F6" w:rsidRPr="00260BF6" w:rsidRDefault="00260BF6" w:rsidP="007A1864">
      <w:pPr>
        <w:spacing w:after="0" w:line="240" w:lineRule="auto"/>
      </w:pPr>
      <w:r w:rsidRPr="00260BF6">
        <w:separator/>
      </w:r>
    </w:p>
  </w:endnote>
  <w:endnote w:type="continuationSeparator" w:id="0">
    <w:p w:rsidR="00260BF6" w:rsidRPr="00260BF6" w:rsidRDefault="00260BF6" w:rsidP="007A1864">
      <w:pPr>
        <w:spacing w:after="0" w:line="240" w:lineRule="auto"/>
      </w:pPr>
      <w:r w:rsidRPr="00260B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F6" w:rsidRDefault="00260BF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D3" w:rsidRPr="00260BF6" w:rsidRDefault="00EB73D3" w:rsidP="001508B9">
    <w:pPr>
      <w:pStyle w:val="Sidenummerering"/>
      <w:rPr>
        <w:lang w:val="da-DK"/>
      </w:rPr>
    </w:pPr>
    <w:r w:rsidRPr="00260BF6">
      <w:rPr>
        <w:lang w:val="da-DK"/>
      </w:rPr>
      <w:tab/>
    </w:r>
    <w:r w:rsidRPr="00260BF6">
      <w:rPr>
        <w:lang w:val="da-DK"/>
      </w:rPr>
      <w:tab/>
      <w:t xml:space="preserve">Side </w:t>
    </w:r>
    <w:r w:rsidRPr="00260BF6">
      <w:rPr>
        <w:lang w:val="da-DK"/>
      </w:rPr>
      <w:fldChar w:fldCharType="begin"/>
    </w:r>
    <w:r w:rsidRPr="00260BF6">
      <w:rPr>
        <w:lang w:val="da-DK"/>
      </w:rPr>
      <w:instrText xml:space="preserve"> PAGE   \* MERGEFORMAT </w:instrText>
    </w:r>
    <w:r w:rsidRPr="00260BF6">
      <w:rPr>
        <w:lang w:val="da-DK"/>
      </w:rPr>
      <w:fldChar w:fldCharType="separate"/>
    </w:r>
    <w:r w:rsidR="00260BF6">
      <w:rPr>
        <w:noProof/>
        <w:lang w:val="da-DK"/>
      </w:rPr>
      <w:t>2</w:t>
    </w:r>
    <w:r w:rsidRPr="00260BF6">
      <w:rPr>
        <w:lang w:val="da-DK"/>
      </w:rPr>
      <w:fldChar w:fldCharType="end"/>
    </w:r>
    <w:r w:rsidRPr="00260BF6">
      <w:rPr>
        <w:lang w:val="da-DK"/>
      </w:rPr>
      <w:t xml:space="preserve"> af </w:t>
    </w:r>
    <w:r w:rsidRPr="00260BF6">
      <w:rPr>
        <w:lang w:val="da-DK"/>
      </w:rPr>
      <w:fldChar w:fldCharType="begin"/>
    </w:r>
    <w:r w:rsidRPr="00260BF6">
      <w:rPr>
        <w:lang w:val="da-DK"/>
      </w:rPr>
      <w:instrText xml:space="preserve"> NUMPAGES   \* MERGEFORMAT </w:instrText>
    </w:r>
    <w:r w:rsidRPr="00260BF6">
      <w:rPr>
        <w:lang w:val="da-DK"/>
      </w:rPr>
      <w:fldChar w:fldCharType="separate"/>
    </w:r>
    <w:r w:rsidR="00260BF6">
      <w:rPr>
        <w:noProof/>
        <w:lang w:val="da-DK"/>
      </w:rPr>
      <w:t>3</w:t>
    </w:r>
    <w:r w:rsidRPr="00260BF6">
      <w:rPr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D3" w:rsidRPr="00260BF6" w:rsidRDefault="00EB73D3" w:rsidP="000C416A">
    <w:pPr>
      <w:pStyle w:val="Sidenummerering"/>
      <w:rPr>
        <w:lang w:val="da-DK"/>
      </w:rPr>
    </w:pPr>
    <w:r w:rsidRPr="00260BF6">
      <w:rPr>
        <w:lang w:val="da-DK"/>
      </w:rPr>
      <w:tab/>
    </w:r>
    <w:r w:rsidRPr="00260BF6">
      <w:rPr>
        <w:lang w:val="da-DK"/>
      </w:rPr>
      <w:tab/>
      <w:t xml:space="preserve">Side </w:t>
    </w:r>
    <w:r w:rsidRPr="00260BF6">
      <w:rPr>
        <w:lang w:val="da-DK"/>
      </w:rPr>
      <w:fldChar w:fldCharType="begin"/>
    </w:r>
    <w:r w:rsidRPr="00260BF6">
      <w:rPr>
        <w:lang w:val="da-DK"/>
      </w:rPr>
      <w:instrText xml:space="preserve"> PAGE   \* MERGEFORMAT </w:instrText>
    </w:r>
    <w:r w:rsidRPr="00260BF6">
      <w:rPr>
        <w:lang w:val="da-DK"/>
      </w:rPr>
      <w:fldChar w:fldCharType="separate"/>
    </w:r>
    <w:r w:rsidR="00260BF6">
      <w:rPr>
        <w:noProof/>
        <w:lang w:val="da-DK"/>
      </w:rPr>
      <w:t>1</w:t>
    </w:r>
    <w:r w:rsidRPr="00260BF6">
      <w:rPr>
        <w:lang w:val="da-DK"/>
      </w:rPr>
      <w:fldChar w:fldCharType="end"/>
    </w:r>
    <w:r w:rsidRPr="00260BF6">
      <w:rPr>
        <w:lang w:val="da-DK"/>
      </w:rPr>
      <w:t xml:space="preserve"> af </w:t>
    </w:r>
    <w:r w:rsidRPr="00260BF6">
      <w:rPr>
        <w:lang w:val="da-DK"/>
      </w:rPr>
      <w:fldChar w:fldCharType="begin"/>
    </w:r>
    <w:r w:rsidRPr="00260BF6">
      <w:rPr>
        <w:lang w:val="da-DK"/>
      </w:rPr>
      <w:instrText xml:space="preserve"> NUMPAGES   \* MERGEFORMAT </w:instrText>
    </w:r>
    <w:r w:rsidRPr="00260BF6">
      <w:rPr>
        <w:lang w:val="da-DK"/>
      </w:rPr>
      <w:fldChar w:fldCharType="separate"/>
    </w:r>
    <w:r w:rsidR="00260BF6">
      <w:rPr>
        <w:noProof/>
        <w:lang w:val="da-DK"/>
      </w:rPr>
      <w:t>3</w:t>
    </w:r>
    <w:r w:rsidRPr="00260BF6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F6" w:rsidRPr="00260BF6" w:rsidRDefault="00260BF6" w:rsidP="007A1864">
      <w:pPr>
        <w:spacing w:after="0" w:line="240" w:lineRule="auto"/>
      </w:pPr>
      <w:r w:rsidRPr="00260BF6">
        <w:separator/>
      </w:r>
    </w:p>
  </w:footnote>
  <w:footnote w:type="continuationSeparator" w:id="0">
    <w:p w:rsidR="00260BF6" w:rsidRPr="00260BF6" w:rsidRDefault="00260BF6" w:rsidP="007A1864">
      <w:pPr>
        <w:spacing w:after="0" w:line="240" w:lineRule="auto"/>
      </w:pPr>
      <w:r w:rsidRPr="00260BF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F6" w:rsidRDefault="00260BF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F6" w:rsidRDefault="00260BF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775" cy="1228725"/>
          <wp:effectExtent l="0" t="0" r="9525" b="952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9243" w:tblpY="4254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2410"/>
    </w:tblGrid>
    <w:tr w:rsidR="00EB73D3" w:rsidRPr="00260BF6" w:rsidTr="00980573">
      <w:trPr>
        <w:trHeight w:hRule="exact" w:val="851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EB73D3" w:rsidRPr="00260BF6" w:rsidRDefault="00260BF6" w:rsidP="00260BF6">
          <w:pPr>
            <w:pStyle w:val="Kolofon"/>
            <w:rPr>
              <w:lang w:val="da-DK"/>
            </w:rPr>
          </w:pPr>
          <w:r w:rsidRPr="00260BF6">
            <w:rPr>
              <w:rFonts w:cs="Arial"/>
              <w:lang w:val="da-DK"/>
            </w:rPr>
            <w:t>Dato: 20. september 2018</w:t>
          </w:r>
        </w:p>
      </w:tc>
    </w:tr>
    <w:tr w:rsidR="00EB73D3" w:rsidRPr="00260BF6" w:rsidTr="00980573">
      <w:trPr>
        <w:trHeight w:hRule="exact" w:val="7230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EB73D3" w:rsidRPr="00260BF6" w:rsidRDefault="00EB73D3" w:rsidP="00980573">
          <w:pPr>
            <w:pStyle w:val="Kolofon"/>
            <w:rPr>
              <w:b/>
              <w:lang w:val="da-DK"/>
            </w:rPr>
          </w:pPr>
          <w:r w:rsidRPr="00260BF6">
            <w:rPr>
              <w:b/>
              <w:lang w:val="da-DK"/>
            </w:rPr>
            <w:t>Kontaktoplysninger</w:t>
          </w:r>
        </w:p>
        <w:p w:rsidR="00EB73D3" w:rsidRPr="00260BF6" w:rsidRDefault="00EB73D3" w:rsidP="00980573">
          <w:pPr>
            <w:pStyle w:val="Kolofon"/>
            <w:rPr>
              <w:b/>
              <w:lang w:val="da-DK"/>
            </w:rPr>
          </w:pP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i/>
              <w:lang w:val="da-DK"/>
            </w:rPr>
            <w:t>Teknik- og Miljøcenter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b/>
              <w:lang w:val="da-DK"/>
            </w:rPr>
            <w:t>Team Natur og Land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Rønnedevej 9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4100 Ringsted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Tel.:</w:t>
          </w:r>
          <w:r w:rsidRPr="00260BF6">
            <w:rPr>
              <w:rFonts w:cs="Arial"/>
              <w:lang w:val="da-DK"/>
            </w:rPr>
            <w:tab/>
            <w:t>+45 57 62 63 00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Dir.:</w:t>
          </w:r>
          <w:r w:rsidRPr="00260BF6">
            <w:rPr>
              <w:rFonts w:cs="Arial"/>
              <w:lang w:val="da-DK"/>
            </w:rPr>
            <w:tab/>
            <w:t>+45 57 62 63 36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Fax.:</w:t>
          </w:r>
          <w:r w:rsidRPr="00260BF6">
            <w:rPr>
              <w:rFonts w:cs="Arial"/>
              <w:lang w:val="da-DK"/>
            </w:rPr>
            <w:tab/>
            <w:t>+45 57 62 63 15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Mail.:</w:t>
          </w:r>
          <w:r w:rsidRPr="00260BF6">
            <w:rPr>
              <w:rFonts w:cs="Arial"/>
              <w:lang w:val="da-DK"/>
            </w:rPr>
            <w:tab/>
            <w:t>BVA@RINGSTED.DK</w:t>
          </w: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Sag:</w:t>
          </w:r>
          <w:r w:rsidRPr="00260BF6">
            <w:rPr>
              <w:rFonts w:cs="Arial"/>
              <w:lang w:val="da-DK"/>
            </w:rPr>
            <w:tab/>
            <w:t>17/</w:t>
          </w:r>
          <w:proofErr w:type="gramStart"/>
          <w:r w:rsidRPr="00260BF6">
            <w:rPr>
              <w:rFonts w:cs="Arial"/>
              <w:lang w:val="da-DK"/>
            </w:rPr>
            <w:t>10302</w:t>
          </w:r>
          <w:proofErr w:type="gramEnd"/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</w:p>
        <w:p w:rsidR="00260BF6" w:rsidRPr="00260BF6" w:rsidRDefault="00260BF6" w:rsidP="00260BF6">
          <w:pPr>
            <w:pStyle w:val="Kolofon"/>
            <w:rPr>
              <w:rFonts w:cs="Arial"/>
              <w:lang w:val="da-DK"/>
            </w:rPr>
          </w:pPr>
          <w:r w:rsidRPr="00260BF6">
            <w:rPr>
              <w:rFonts w:cs="Arial"/>
              <w:lang w:val="da-DK"/>
            </w:rPr>
            <w:t>teknikogmiljo@ringsted.dk</w:t>
          </w:r>
        </w:p>
        <w:p w:rsidR="00EB73D3" w:rsidRPr="00260BF6" w:rsidRDefault="00260BF6" w:rsidP="00260BF6">
          <w:pPr>
            <w:pStyle w:val="Kolofon"/>
            <w:rPr>
              <w:lang w:val="da-DK"/>
            </w:rPr>
          </w:pPr>
          <w:r w:rsidRPr="00260BF6">
            <w:rPr>
              <w:rFonts w:cs="Arial"/>
              <w:lang w:val="da-DK"/>
            </w:rPr>
            <w:t>www.ringsted.dk</w:t>
          </w:r>
        </w:p>
      </w:tc>
    </w:tr>
  </w:tbl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EB73D3" w:rsidRPr="00260BF6" w:rsidTr="00D65800">
      <w:tc>
        <w:tcPr>
          <w:tcW w:w="7453" w:type="dxa"/>
          <w:tcBorders>
            <w:top w:val="nil"/>
            <w:left w:val="nil"/>
            <w:bottom w:val="nil"/>
            <w:right w:val="nil"/>
          </w:tcBorders>
        </w:tcPr>
        <w:p w:rsidR="00EB73D3" w:rsidRPr="00260BF6" w:rsidRDefault="00EB73D3" w:rsidP="00D65800">
          <w:pPr>
            <w:pStyle w:val="Notat"/>
          </w:pPr>
          <w:r w:rsidRPr="00260BF6">
            <w:t>Notat</w:t>
          </w:r>
        </w:p>
      </w:tc>
    </w:tr>
  </w:tbl>
  <w:p w:rsidR="00EB73D3" w:rsidRPr="00260BF6" w:rsidRDefault="00260BF6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775" cy="122872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</w:pPr>
  </w:p>
  <w:p w:rsidR="00EB73D3" w:rsidRPr="00260BF6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3">
    <w:nsid w:val="40D463C3"/>
    <w:multiLevelType w:val="hybridMultilevel"/>
    <w:tmpl w:val="FFFFFFFF"/>
    <w:lvl w:ilvl="0" w:tplc="4A0E1CA7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93E48AA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63A42FF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22C685F4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63331082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5F46D1B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63F49FCE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13BAA39D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7DCEEE84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tat.dotm"/>
    <w:docVar w:name="DocCaseNo" w:val="17/10302"/>
    <w:docVar w:name="DocumentCreated" w:val="DocumentCreated"/>
    <w:docVar w:name="DocumentCreatedOK" w:val="DocumentCreatedOK"/>
    <w:docVar w:name="DocumentInitialized" w:val="OK"/>
    <w:docVar w:name="dtLanguage" w:val="da-DK"/>
    <w:docVar w:name="IntegrationType" w:val="StandAlone"/>
  </w:docVars>
  <w:rsids>
    <w:rsidRoot w:val="00260BF6"/>
    <w:rsid w:val="00007524"/>
    <w:rsid w:val="00014EBB"/>
    <w:rsid w:val="00024173"/>
    <w:rsid w:val="000445A4"/>
    <w:rsid w:val="00070F9A"/>
    <w:rsid w:val="0008179D"/>
    <w:rsid w:val="00096480"/>
    <w:rsid w:val="000A2970"/>
    <w:rsid w:val="000A7383"/>
    <w:rsid w:val="000C2AA6"/>
    <w:rsid w:val="000C416A"/>
    <w:rsid w:val="0012353A"/>
    <w:rsid w:val="00131EA2"/>
    <w:rsid w:val="00146639"/>
    <w:rsid w:val="001508B9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F44E2"/>
    <w:rsid w:val="00201D95"/>
    <w:rsid w:val="0020233A"/>
    <w:rsid w:val="00206318"/>
    <w:rsid w:val="00221D59"/>
    <w:rsid w:val="002365D1"/>
    <w:rsid w:val="00244880"/>
    <w:rsid w:val="002475D8"/>
    <w:rsid w:val="00260BF6"/>
    <w:rsid w:val="002616DC"/>
    <w:rsid w:val="00262A24"/>
    <w:rsid w:val="00281EBC"/>
    <w:rsid w:val="002837C3"/>
    <w:rsid w:val="002B6FA4"/>
    <w:rsid w:val="002D370D"/>
    <w:rsid w:val="002D7E6C"/>
    <w:rsid w:val="002E229F"/>
    <w:rsid w:val="002F3FCB"/>
    <w:rsid w:val="003103DF"/>
    <w:rsid w:val="003117C9"/>
    <w:rsid w:val="00312C74"/>
    <w:rsid w:val="00313206"/>
    <w:rsid w:val="00373612"/>
    <w:rsid w:val="003834ED"/>
    <w:rsid w:val="003836A6"/>
    <w:rsid w:val="00386F21"/>
    <w:rsid w:val="00393B8B"/>
    <w:rsid w:val="00393E4A"/>
    <w:rsid w:val="003A5984"/>
    <w:rsid w:val="003C418E"/>
    <w:rsid w:val="003D2073"/>
    <w:rsid w:val="003E76AF"/>
    <w:rsid w:val="003F4FE9"/>
    <w:rsid w:val="003F6D59"/>
    <w:rsid w:val="003F7493"/>
    <w:rsid w:val="00400D19"/>
    <w:rsid w:val="00403313"/>
    <w:rsid w:val="00404584"/>
    <w:rsid w:val="00422FF9"/>
    <w:rsid w:val="004347D4"/>
    <w:rsid w:val="004740DD"/>
    <w:rsid w:val="00482A09"/>
    <w:rsid w:val="00484C9F"/>
    <w:rsid w:val="00496D60"/>
    <w:rsid w:val="004B2FB6"/>
    <w:rsid w:val="004E0C03"/>
    <w:rsid w:val="00507C7D"/>
    <w:rsid w:val="00526E17"/>
    <w:rsid w:val="00527CB3"/>
    <w:rsid w:val="00533423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D187E"/>
    <w:rsid w:val="005D2BD3"/>
    <w:rsid w:val="005D3321"/>
    <w:rsid w:val="005F2E4F"/>
    <w:rsid w:val="005F40E3"/>
    <w:rsid w:val="006015A4"/>
    <w:rsid w:val="006167D1"/>
    <w:rsid w:val="00631BEB"/>
    <w:rsid w:val="00664A90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129B"/>
    <w:rsid w:val="00710F5E"/>
    <w:rsid w:val="00713F0A"/>
    <w:rsid w:val="00725619"/>
    <w:rsid w:val="00733E1C"/>
    <w:rsid w:val="00735381"/>
    <w:rsid w:val="007568A5"/>
    <w:rsid w:val="0076376E"/>
    <w:rsid w:val="007A1864"/>
    <w:rsid w:val="007C71BE"/>
    <w:rsid w:val="007E2154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D4CF8"/>
    <w:rsid w:val="008D6388"/>
    <w:rsid w:val="008D7DC2"/>
    <w:rsid w:val="008F06DC"/>
    <w:rsid w:val="00900DEC"/>
    <w:rsid w:val="009033EC"/>
    <w:rsid w:val="0092634A"/>
    <w:rsid w:val="009327F7"/>
    <w:rsid w:val="009438AA"/>
    <w:rsid w:val="009447BE"/>
    <w:rsid w:val="00946534"/>
    <w:rsid w:val="0095069E"/>
    <w:rsid w:val="009540FF"/>
    <w:rsid w:val="009546B0"/>
    <w:rsid w:val="00954F75"/>
    <w:rsid w:val="00980573"/>
    <w:rsid w:val="009A484E"/>
    <w:rsid w:val="009A6468"/>
    <w:rsid w:val="009A78C4"/>
    <w:rsid w:val="009B11CA"/>
    <w:rsid w:val="009B26E6"/>
    <w:rsid w:val="009C0F33"/>
    <w:rsid w:val="009C344C"/>
    <w:rsid w:val="009D2245"/>
    <w:rsid w:val="009F7EBC"/>
    <w:rsid w:val="00A0465E"/>
    <w:rsid w:val="00A24C44"/>
    <w:rsid w:val="00A30F45"/>
    <w:rsid w:val="00A36985"/>
    <w:rsid w:val="00A45E46"/>
    <w:rsid w:val="00A63AD8"/>
    <w:rsid w:val="00A95CB2"/>
    <w:rsid w:val="00AA5EB3"/>
    <w:rsid w:val="00AB7DB9"/>
    <w:rsid w:val="00AC196A"/>
    <w:rsid w:val="00AD2769"/>
    <w:rsid w:val="00AD2B95"/>
    <w:rsid w:val="00AE12C3"/>
    <w:rsid w:val="00AF43E5"/>
    <w:rsid w:val="00AF46F2"/>
    <w:rsid w:val="00B00EC1"/>
    <w:rsid w:val="00B1220B"/>
    <w:rsid w:val="00B13C87"/>
    <w:rsid w:val="00B147FA"/>
    <w:rsid w:val="00B25804"/>
    <w:rsid w:val="00B261D7"/>
    <w:rsid w:val="00B27AA6"/>
    <w:rsid w:val="00B301F1"/>
    <w:rsid w:val="00B43786"/>
    <w:rsid w:val="00B64AD5"/>
    <w:rsid w:val="00B95E8B"/>
    <w:rsid w:val="00BA3C42"/>
    <w:rsid w:val="00BC7950"/>
    <w:rsid w:val="00BF69CB"/>
    <w:rsid w:val="00BF7E06"/>
    <w:rsid w:val="00C34D44"/>
    <w:rsid w:val="00C37A2C"/>
    <w:rsid w:val="00C44187"/>
    <w:rsid w:val="00C64BF3"/>
    <w:rsid w:val="00C675EB"/>
    <w:rsid w:val="00C8164D"/>
    <w:rsid w:val="00CA2763"/>
    <w:rsid w:val="00CF6E1D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A6BD0"/>
    <w:rsid w:val="00DA72FD"/>
    <w:rsid w:val="00DB2FA7"/>
    <w:rsid w:val="00DD71BC"/>
    <w:rsid w:val="00DE085F"/>
    <w:rsid w:val="00DE3C2C"/>
    <w:rsid w:val="00E21574"/>
    <w:rsid w:val="00E247F7"/>
    <w:rsid w:val="00E27C7B"/>
    <w:rsid w:val="00E33ED4"/>
    <w:rsid w:val="00E75555"/>
    <w:rsid w:val="00E83083"/>
    <w:rsid w:val="00E907C9"/>
    <w:rsid w:val="00EA61C7"/>
    <w:rsid w:val="00EB58E2"/>
    <w:rsid w:val="00EB73D3"/>
    <w:rsid w:val="00EE5599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F70"/>
    <w:rsid w:val="00F87085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260BF6"/>
    <w:pPr>
      <w:spacing w:after="0"/>
      <w:outlineLvl w:val="2"/>
    </w:pPr>
    <w:rPr>
      <w:bCs w:val="0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60BF6"/>
    <w:rPr>
      <w:rFonts w:ascii="Arial" w:eastAsiaTheme="majorEastAsia" w:hAnsi="Arial" w:cstheme="majorBidi"/>
      <w:b/>
      <w:sz w:val="18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260BF6"/>
    <w:pPr>
      <w:spacing w:after="0"/>
      <w:outlineLvl w:val="2"/>
    </w:pPr>
    <w:rPr>
      <w:bCs w:val="0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60BF6"/>
    <w:rPr>
      <w:rFonts w:ascii="Arial" w:eastAsiaTheme="majorEastAsia" w:hAnsi="Arial" w:cstheme="majorBidi"/>
      <w:b/>
      <w:sz w:val="18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\TDS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DFCB-FD3A-4716-92DD-52B4AF71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6</TotalTime>
  <Pages>3</Pages>
  <Words>775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Vodstrup Andersen</dc:creator>
  <cp:lastModifiedBy>Britt Vodstrup Andersen</cp:lastModifiedBy>
  <cp:revision>1</cp:revision>
  <dcterms:created xsi:type="dcterms:W3CDTF">2018-09-20T09:56:00Z</dcterms:created>
  <dcterms:modified xsi:type="dcterms:W3CDTF">2018-09-20T10:02:00Z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{384172A9-F153-401B-8583-994D8B3FED62}</vt:lpwstr>
  </property>
</Properties>
</file>