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CF" w:rsidRPr="007B38CF" w:rsidRDefault="007B38CF" w:rsidP="007B38CF">
      <w:pPr>
        <w:rPr>
          <w:b/>
          <w:sz w:val="28"/>
          <w:szCs w:val="28"/>
        </w:rPr>
      </w:pPr>
      <w:r w:rsidRPr="007B38CF">
        <w:rPr>
          <w:b/>
          <w:sz w:val="28"/>
          <w:szCs w:val="28"/>
        </w:rPr>
        <w:t>O</w:t>
      </w:r>
      <w:r w:rsidR="00CA78EE">
        <w:rPr>
          <w:b/>
          <w:sz w:val="28"/>
          <w:szCs w:val="28"/>
        </w:rPr>
        <w:t>verbliks</w:t>
      </w:r>
      <w:r w:rsidRPr="007B38CF">
        <w:rPr>
          <w:b/>
          <w:sz w:val="28"/>
          <w:szCs w:val="28"/>
        </w:rPr>
        <w:t xml:space="preserve">skema over årsag/bemærkninger til </w:t>
      </w:r>
      <w:r>
        <w:rPr>
          <w:b/>
          <w:sz w:val="28"/>
          <w:szCs w:val="28"/>
        </w:rPr>
        <w:t>ændringer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7B38CF" w:rsidTr="007B38CF">
        <w:tc>
          <w:tcPr>
            <w:tcW w:w="2499" w:type="pct"/>
          </w:tcPr>
          <w:p w:rsidR="007B38CF" w:rsidRPr="00AC2264" w:rsidRDefault="007B38CF" w:rsidP="00620840">
            <w:pPr>
              <w:rPr>
                <w:b/>
              </w:rPr>
            </w:pPr>
            <w:r w:rsidRPr="00AC2264">
              <w:rPr>
                <w:b/>
              </w:rPr>
              <w:t>Kvalitetsstandard for:</w:t>
            </w:r>
          </w:p>
        </w:tc>
        <w:tc>
          <w:tcPr>
            <w:tcW w:w="2501" w:type="pct"/>
          </w:tcPr>
          <w:p w:rsidR="007B38CF" w:rsidRPr="007B38CF" w:rsidRDefault="007B38CF" w:rsidP="00620840">
            <w:pPr>
              <w:rPr>
                <w:b/>
              </w:rPr>
            </w:pPr>
            <w:r w:rsidRPr="007B38CF">
              <w:rPr>
                <w:b/>
              </w:rPr>
              <w:t xml:space="preserve">Årsag/bemærkninger til ændringer </w:t>
            </w:r>
          </w:p>
        </w:tc>
      </w:tr>
      <w:tr w:rsidR="007B38CF" w:rsidTr="007B38CF">
        <w:tc>
          <w:tcPr>
            <w:tcW w:w="2499" w:type="pct"/>
          </w:tcPr>
          <w:p w:rsidR="007B38CF" w:rsidRDefault="005640A8" w:rsidP="00620840">
            <w:r>
              <w:t>Hjælp</w:t>
            </w:r>
            <w:r w:rsidR="00CA78EE">
              <w:t xml:space="preserve"> på plejecentre</w:t>
            </w:r>
          </w:p>
        </w:tc>
        <w:tc>
          <w:tcPr>
            <w:tcW w:w="2501" w:type="pct"/>
          </w:tcPr>
          <w:p w:rsidR="007B38CF" w:rsidRDefault="000412B3" w:rsidP="00620840">
            <w:r>
              <w:t>Præciseringer</w:t>
            </w:r>
            <w:r w:rsidR="00D947A7">
              <w:t xml:space="preserve"> og serviceændring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Træning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Tildeling af plejebolig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Tildeling af handicapegnet bolig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Praktisk hjælp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Personlig pleje og ernæring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Pasning af nærtstående med handicap eller alvorlig sygdom</w:t>
            </w:r>
            <w:r w:rsidR="005640A8">
              <w:t xml:space="preserve"> i eget hjem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Pasning af døende</w:t>
            </w:r>
            <w:r w:rsidR="005E6B10">
              <w:t xml:space="preserve"> i eget hjem</w:t>
            </w:r>
          </w:p>
        </w:tc>
        <w:tc>
          <w:tcPr>
            <w:tcW w:w="2501" w:type="pct"/>
          </w:tcPr>
          <w:p w:rsidR="007B38CF" w:rsidRDefault="005640A8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Omsorgstandpleje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Nødkald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  <w:bookmarkStart w:id="0" w:name="_GoBack"/>
            <w:bookmarkEnd w:id="0"/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Midlertidigt ophold</w:t>
            </w:r>
            <w:r w:rsidR="005E6B10">
              <w:t xml:space="preserve"> på plejecenter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Madservice med udbringning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 og serviceændring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K</w:t>
            </w:r>
            <w:r w:rsidR="005E6B10">
              <w:t>lippekort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Hjemmesygepleje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Forebyggende hjemmebesøg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5E6B10" w:rsidP="00620840">
            <w:r>
              <w:t>Daghjem til borgere med demens</w:t>
            </w:r>
          </w:p>
        </w:tc>
        <w:tc>
          <w:tcPr>
            <w:tcW w:w="2501" w:type="pct"/>
          </w:tcPr>
          <w:p w:rsidR="007B38CF" w:rsidRDefault="005E6B10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Daghjem til ældre borgere med fysiske handicap</w:t>
            </w:r>
          </w:p>
        </w:tc>
        <w:tc>
          <w:tcPr>
            <w:tcW w:w="2501" w:type="pct"/>
          </w:tcPr>
          <w:p w:rsidR="007B38CF" w:rsidRDefault="00AE0519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Aflastning og afløsning</w:t>
            </w:r>
          </w:p>
        </w:tc>
        <w:tc>
          <w:tcPr>
            <w:tcW w:w="2501" w:type="pct"/>
          </w:tcPr>
          <w:p w:rsidR="007B38CF" w:rsidRDefault="00AE0519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Genoptræning efter Sundhedsloven § 140</w:t>
            </w:r>
          </w:p>
        </w:tc>
        <w:tc>
          <w:tcPr>
            <w:tcW w:w="2501" w:type="pct"/>
          </w:tcPr>
          <w:p w:rsidR="007B38CF" w:rsidRDefault="00AE0519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Støtte til bil</w:t>
            </w:r>
          </w:p>
        </w:tc>
        <w:tc>
          <w:tcPr>
            <w:tcW w:w="2501" w:type="pct"/>
          </w:tcPr>
          <w:p w:rsidR="007B38CF" w:rsidRDefault="00AE0519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AE0519" w:rsidP="00620840">
            <w:r>
              <w:t>M</w:t>
            </w:r>
            <w:r w:rsidR="00CA78EE">
              <w:t>erudgifter</w:t>
            </w:r>
          </w:p>
        </w:tc>
        <w:tc>
          <w:tcPr>
            <w:tcW w:w="2501" w:type="pct"/>
          </w:tcPr>
          <w:p w:rsidR="007B38CF" w:rsidRDefault="00AE0519" w:rsidP="00620840">
            <w:r>
              <w:t>Lovændringer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Borgerstyret personlig assistance</w:t>
            </w:r>
          </w:p>
        </w:tc>
        <w:tc>
          <w:tcPr>
            <w:tcW w:w="2501" w:type="pct"/>
          </w:tcPr>
          <w:p w:rsidR="007B38CF" w:rsidRDefault="0063004E" w:rsidP="00620840">
            <w:r>
              <w:t>Lovændringer og 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§ 95 kontant tilskud</w:t>
            </w:r>
          </w:p>
        </w:tc>
        <w:tc>
          <w:tcPr>
            <w:tcW w:w="2501" w:type="pct"/>
          </w:tcPr>
          <w:p w:rsidR="007B38CF" w:rsidRDefault="008F4F1D" w:rsidP="00620840">
            <w:r>
              <w:t>Lovændringer og 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Mobilitetshjælpemidler</w:t>
            </w:r>
          </w:p>
        </w:tc>
        <w:tc>
          <w:tcPr>
            <w:tcW w:w="2501" w:type="pct"/>
          </w:tcPr>
          <w:p w:rsidR="007B38CF" w:rsidRDefault="008F4F1D" w:rsidP="00620840">
            <w:r>
              <w:t>Lovændringer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Kropsbårne hjælpemidler</w:t>
            </w:r>
          </w:p>
        </w:tc>
        <w:tc>
          <w:tcPr>
            <w:tcW w:w="2501" w:type="pct"/>
          </w:tcPr>
          <w:p w:rsidR="007B38CF" w:rsidRDefault="008F4F1D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Inkontinenshjælpemidler</w:t>
            </w:r>
          </w:p>
        </w:tc>
        <w:tc>
          <w:tcPr>
            <w:tcW w:w="2501" w:type="pct"/>
          </w:tcPr>
          <w:p w:rsidR="007B38CF" w:rsidRDefault="008F4F1D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Hjælpemidler til personlig pleje og aktivitet i hjemmet</w:t>
            </w:r>
          </w:p>
        </w:tc>
        <w:tc>
          <w:tcPr>
            <w:tcW w:w="2501" w:type="pct"/>
          </w:tcPr>
          <w:p w:rsidR="007B38CF" w:rsidRDefault="008F4F1D" w:rsidP="00620840">
            <w:r>
              <w:t>Lovændring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Forbrugsgoder</w:t>
            </w:r>
          </w:p>
        </w:tc>
        <w:tc>
          <w:tcPr>
            <w:tcW w:w="2501" w:type="pct"/>
          </w:tcPr>
          <w:p w:rsidR="007B38CF" w:rsidRDefault="008F4F1D" w:rsidP="005E6B10">
            <w:r>
              <w:t>Lovændringer og service</w:t>
            </w:r>
            <w:r w:rsidR="005E6B10">
              <w:t>ændring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Boligindretning</w:t>
            </w:r>
          </w:p>
        </w:tc>
        <w:tc>
          <w:tcPr>
            <w:tcW w:w="2501" w:type="pct"/>
          </w:tcPr>
          <w:p w:rsidR="007B38CF" w:rsidRDefault="008F4F1D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Socialpædagogisk støtte</w:t>
            </w:r>
          </w:p>
        </w:tc>
        <w:tc>
          <w:tcPr>
            <w:tcW w:w="2501" w:type="pct"/>
          </w:tcPr>
          <w:p w:rsidR="007B38CF" w:rsidRDefault="008F4F1D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Social behandling for stofmisbrug</w:t>
            </w:r>
          </w:p>
        </w:tc>
        <w:tc>
          <w:tcPr>
            <w:tcW w:w="2501" w:type="pct"/>
          </w:tcPr>
          <w:p w:rsidR="007B38CF" w:rsidRDefault="0032539F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Opsøgende socialt arbejde</w:t>
            </w:r>
          </w:p>
        </w:tc>
        <w:tc>
          <w:tcPr>
            <w:tcW w:w="2501" w:type="pct"/>
          </w:tcPr>
          <w:p w:rsidR="007B38CF" w:rsidRDefault="008F4F1D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Ophold på kvindekrisecenter</w:t>
            </w:r>
          </w:p>
        </w:tc>
        <w:tc>
          <w:tcPr>
            <w:tcW w:w="2501" w:type="pct"/>
          </w:tcPr>
          <w:p w:rsidR="007B38CF" w:rsidRDefault="008F4F1D" w:rsidP="00620840">
            <w:r>
              <w:t>Lovændringer og 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Midlertidigt ophold i botilbud</w:t>
            </w:r>
          </w:p>
        </w:tc>
        <w:tc>
          <w:tcPr>
            <w:tcW w:w="2501" w:type="pct"/>
          </w:tcPr>
          <w:p w:rsidR="007B38CF" w:rsidRDefault="008F4F1D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CA78EE" w:rsidP="00620840">
            <w:r>
              <w:t>Længerevarende ophold i botilbud</w:t>
            </w:r>
          </w:p>
        </w:tc>
        <w:tc>
          <w:tcPr>
            <w:tcW w:w="2501" w:type="pct"/>
          </w:tcPr>
          <w:p w:rsidR="007B38CF" w:rsidRDefault="00183139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D778A9" w:rsidP="00620840">
            <w:r>
              <w:t>Ophold på forsorgshjem</w:t>
            </w:r>
          </w:p>
        </w:tc>
        <w:tc>
          <w:tcPr>
            <w:tcW w:w="2501" w:type="pct"/>
          </w:tcPr>
          <w:p w:rsidR="007B38CF" w:rsidRDefault="00C40D51" w:rsidP="00620840">
            <w:r>
              <w:t>Lovændringer og 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D778A9" w:rsidP="00620840">
            <w:r>
              <w:t>Beskyttet beskæftigelse</w:t>
            </w:r>
          </w:p>
        </w:tc>
        <w:tc>
          <w:tcPr>
            <w:tcW w:w="2501" w:type="pct"/>
          </w:tcPr>
          <w:p w:rsidR="007B38CF" w:rsidRDefault="0032539F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D778A9" w:rsidP="00620840">
            <w:r>
              <w:t>Aktivitets- og samværstilbud</w:t>
            </w:r>
          </w:p>
        </w:tc>
        <w:tc>
          <w:tcPr>
            <w:tcW w:w="2501" w:type="pct"/>
          </w:tcPr>
          <w:p w:rsidR="007B38CF" w:rsidRDefault="0032539F" w:rsidP="00620840">
            <w:r>
              <w:t>-</w:t>
            </w:r>
          </w:p>
        </w:tc>
      </w:tr>
      <w:tr w:rsidR="007B38CF" w:rsidTr="007B38CF">
        <w:tc>
          <w:tcPr>
            <w:tcW w:w="2499" w:type="pct"/>
          </w:tcPr>
          <w:p w:rsidR="007B38CF" w:rsidRDefault="00D778A9" w:rsidP="00620840">
            <w:r>
              <w:t>Ledsagerordning</w:t>
            </w:r>
          </w:p>
        </w:tc>
        <w:tc>
          <w:tcPr>
            <w:tcW w:w="2501" w:type="pct"/>
          </w:tcPr>
          <w:p w:rsidR="007B38CF" w:rsidRDefault="0032539F" w:rsidP="00620840">
            <w:r>
              <w:t>Præciseringer</w:t>
            </w:r>
          </w:p>
        </w:tc>
      </w:tr>
      <w:tr w:rsidR="007B38CF" w:rsidTr="007B38CF">
        <w:tc>
          <w:tcPr>
            <w:tcW w:w="2499" w:type="pct"/>
          </w:tcPr>
          <w:p w:rsidR="007B38CF" w:rsidRDefault="00D778A9" w:rsidP="0032539F">
            <w:r>
              <w:t xml:space="preserve">Aflastning og afløsning </w:t>
            </w:r>
            <w:r w:rsidR="0032539F">
              <w:t xml:space="preserve">af pårørende til </w:t>
            </w:r>
            <w:r>
              <w:t>handicappede over 18 år</w:t>
            </w:r>
          </w:p>
        </w:tc>
        <w:tc>
          <w:tcPr>
            <w:tcW w:w="2501" w:type="pct"/>
          </w:tcPr>
          <w:p w:rsidR="007B38CF" w:rsidRDefault="0032539F" w:rsidP="00620840">
            <w:r>
              <w:t>Ny standard</w:t>
            </w:r>
          </w:p>
        </w:tc>
      </w:tr>
      <w:tr w:rsidR="007B38CF" w:rsidTr="007B38CF">
        <w:tc>
          <w:tcPr>
            <w:tcW w:w="2499" w:type="pct"/>
          </w:tcPr>
          <w:p w:rsidR="00D778A9" w:rsidRDefault="0032539F" w:rsidP="00D778A9">
            <w:r>
              <w:t>Behandling af personer med alkoholproblemer</w:t>
            </w:r>
          </w:p>
        </w:tc>
        <w:tc>
          <w:tcPr>
            <w:tcW w:w="2501" w:type="pct"/>
          </w:tcPr>
          <w:p w:rsidR="007B38CF" w:rsidRDefault="0032539F" w:rsidP="00620840">
            <w:r>
              <w:t>Ny standard</w:t>
            </w:r>
          </w:p>
        </w:tc>
      </w:tr>
    </w:tbl>
    <w:p w:rsidR="00AB1087" w:rsidRDefault="00AB1087"/>
    <w:sectPr w:rsidR="00AB10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272E"/>
    <w:multiLevelType w:val="hybridMultilevel"/>
    <w:tmpl w:val="9F9C9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CF"/>
    <w:rsid w:val="000412B3"/>
    <w:rsid w:val="00183139"/>
    <w:rsid w:val="0032539F"/>
    <w:rsid w:val="005640A8"/>
    <w:rsid w:val="005E6B10"/>
    <w:rsid w:val="0063004E"/>
    <w:rsid w:val="007B38CF"/>
    <w:rsid w:val="008F4F1D"/>
    <w:rsid w:val="00AB1087"/>
    <w:rsid w:val="00AE0519"/>
    <w:rsid w:val="00C40D51"/>
    <w:rsid w:val="00CA78EE"/>
    <w:rsid w:val="00D778A9"/>
    <w:rsid w:val="00D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38CF"/>
    <w:pPr>
      <w:ind w:left="720"/>
      <w:contextualSpacing/>
    </w:pPr>
  </w:style>
  <w:style w:type="table" w:styleId="Tabel-Gitter">
    <w:name w:val="Table Grid"/>
    <w:basedOn w:val="Tabel-Normal"/>
    <w:uiPriority w:val="59"/>
    <w:rsid w:val="007B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C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38CF"/>
    <w:pPr>
      <w:ind w:left="720"/>
      <w:contextualSpacing/>
    </w:pPr>
  </w:style>
  <w:style w:type="table" w:styleId="Tabel-Gitter">
    <w:name w:val="Table Grid"/>
    <w:basedOn w:val="Tabel-Normal"/>
    <w:uiPriority w:val="59"/>
    <w:rsid w:val="007B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Haar</dc:creator>
  <cp:lastModifiedBy>Lone Haar</cp:lastModifiedBy>
  <cp:revision>2</cp:revision>
  <dcterms:created xsi:type="dcterms:W3CDTF">2017-11-02T07:58:00Z</dcterms:created>
  <dcterms:modified xsi:type="dcterms:W3CDTF">2017-11-02T07:58:00Z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{B4F74BCA-8862-4D9E-9ABC-8B7F3D0D968F}</vt:lpwstr>
  </property>
</Properties>
</file>