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690A" w:rsidRDefault="0048690A" w:rsidP="00355522"/>
    <w:p w:rsidR="00314927" w:rsidRDefault="00314927" w:rsidP="00355522"/>
    <w:tbl>
      <w:tblPr>
        <w:tblW w:w="5000" w:type="pct"/>
        <w:jc w:val="center"/>
        <w:tblCellSpacing w:w="0" w:type="dxa"/>
        <w:tblCellMar>
          <w:left w:w="0" w:type="dxa"/>
          <w:right w:w="0" w:type="dxa"/>
        </w:tblCellMar>
        <w:tblLook w:val="04A0" w:firstRow="1" w:lastRow="0" w:firstColumn="1" w:lastColumn="0" w:noHBand="0" w:noVBand="1"/>
      </w:tblPr>
      <w:tblGrid>
        <w:gridCol w:w="6027"/>
        <w:gridCol w:w="2973"/>
      </w:tblGrid>
      <w:tr w:rsidR="00674FBB">
        <w:trPr>
          <w:divId w:val="1739863707"/>
          <w:tblCellSpacing w:w="0" w:type="dxa"/>
          <w:jc w:val="center"/>
        </w:trPr>
        <w:tc>
          <w:tcPr>
            <w:tcW w:w="0" w:type="auto"/>
            <w:gridSpan w:val="2"/>
            <w:vAlign w:val="center"/>
            <w:hideMark/>
          </w:tcPr>
          <w:p w:rsidR="00674FBB" w:rsidRDefault="00674FBB">
            <w:pPr>
              <w:pStyle w:val="Overskrift1"/>
            </w:pPr>
            <w:bookmarkStart w:id="0" w:name="AC_Item"/>
            <w:bookmarkEnd w:id="0"/>
            <w:r>
              <w:t>Helhedsplan for Sct. Knudsgade, Dagmarsgade og Pileborggade samt anlægsbevilling og rådighedsbeløb til detailprojektering mv. af Dagmarsgade (KMU)</w:t>
            </w:r>
          </w:p>
        </w:tc>
      </w:tr>
      <w:tr w:rsidR="00674FBB">
        <w:trPr>
          <w:divId w:val="1739863707"/>
          <w:tblCellSpacing w:w="0" w:type="dxa"/>
          <w:jc w:val="center"/>
        </w:trPr>
        <w:tc>
          <w:tcPr>
            <w:tcW w:w="1250" w:type="pct"/>
            <w:gridSpan w:val="2"/>
            <w:hideMark/>
          </w:tcPr>
          <w:p w:rsidR="00674FBB" w:rsidRDefault="00674FBB">
            <w:pPr>
              <w:rPr>
                <w:b/>
                <w:bCs/>
                <w:sz w:val="24"/>
              </w:rPr>
            </w:pPr>
            <w:r>
              <w:rPr>
                <w:b/>
                <w:bCs/>
              </w:rPr>
              <w:t>Åben sag</w:t>
            </w:r>
          </w:p>
        </w:tc>
      </w:tr>
      <w:tr w:rsidR="00674FBB">
        <w:trPr>
          <w:divId w:val="1739863707"/>
          <w:tblCellSpacing w:w="0" w:type="dxa"/>
          <w:jc w:val="center"/>
        </w:trPr>
        <w:tc>
          <w:tcPr>
            <w:tcW w:w="1250" w:type="pct"/>
            <w:hideMark/>
          </w:tcPr>
          <w:p w:rsidR="00674FBB" w:rsidRDefault="00674FBB">
            <w:pPr>
              <w:rPr>
                <w:b/>
                <w:bCs/>
                <w:sz w:val="24"/>
              </w:rPr>
            </w:pPr>
            <w:r>
              <w:rPr>
                <w:b/>
                <w:bCs/>
              </w:rPr>
              <w:t xml:space="preserve">Sagsid: </w:t>
            </w:r>
          </w:p>
        </w:tc>
        <w:tc>
          <w:tcPr>
            <w:tcW w:w="0" w:type="auto"/>
            <w:hideMark/>
          </w:tcPr>
          <w:p w:rsidR="00674FBB" w:rsidRDefault="00674FBB">
            <w:pPr>
              <w:rPr>
                <w:sz w:val="24"/>
              </w:rPr>
            </w:pPr>
            <w:r>
              <w:t>16/22587</w:t>
            </w:r>
          </w:p>
        </w:tc>
      </w:tr>
      <w:tr w:rsidR="00674FBB">
        <w:trPr>
          <w:divId w:val="1739863707"/>
          <w:tblCellSpacing w:w="0" w:type="dxa"/>
          <w:jc w:val="center"/>
        </w:trPr>
        <w:tc>
          <w:tcPr>
            <w:tcW w:w="1250" w:type="pct"/>
            <w:hideMark/>
          </w:tcPr>
          <w:p w:rsidR="00674FBB" w:rsidRDefault="00674FBB">
            <w:pPr>
              <w:rPr>
                <w:b/>
                <w:bCs/>
                <w:sz w:val="24"/>
              </w:rPr>
            </w:pPr>
            <w:r>
              <w:rPr>
                <w:b/>
                <w:bCs/>
              </w:rPr>
              <w:t xml:space="preserve">Sagen afgøres i: </w:t>
            </w:r>
          </w:p>
        </w:tc>
        <w:tc>
          <w:tcPr>
            <w:tcW w:w="0" w:type="auto"/>
            <w:hideMark/>
          </w:tcPr>
          <w:p w:rsidR="00674FBB" w:rsidRDefault="00674FBB">
            <w:pPr>
              <w:rPr>
                <w:sz w:val="24"/>
              </w:rPr>
            </w:pPr>
            <w:r>
              <w:t>Byrådet</w:t>
            </w:r>
          </w:p>
        </w:tc>
      </w:tr>
      <w:tr w:rsidR="00674FBB">
        <w:trPr>
          <w:divId w:val="1739863707"/>
          <w:tblCellSpacing w:w="0" w:type="dxa"/>
          <w:jc w:val="center"/>
        </w:trPr>
        <w:tc>
          <w:tcPr>
            <w:tcW w:w="1250" w:type="pct"/>
            <w:hideMark/>
          </w:tcPr>
          <w:p w:rsidR="00674FBB" w:rsidRDefault="00674FBB">
            <w:pPr>
              <w:rPr>
                <w:b/>
                <w:bCs/>
                <w:sz w:val="24"/>
              </w:rPr>
            </w:pPr>
            <w:r>
              <w:rPr>
                <w:b/>
                <w:bCs/>
              </w:rPr>
              <w:t xml:space="preserve">Bilag: </w:t>
            </w:r>
          </w:p>
        </w:tc>
        <w:tc>
          <w:tcPr>
            <w:tcW w:w="0" w:type="auto"/>
            <w:hideMark/>
          </w:tcPr>
          <w:tbl>
            <w:tblPr>
              <w:tblW w:w="5000" w:type="pct"/>
              <w:tblCellSpacing w:w="0" w:type="dxa"/>
              <w:tblCellMar>
                <w:left w:w="0" w:type="dxa"/>
                <w:right w:w="0" w:type="dxa"/>
              </w:tblCellMar>
              <w:tblLook w:val="04A0" w:firstRow="1" w:lastRow="0" w:firstColumn="1" w:lastColumn="0" w:noHBand="0" w:noVBand="1"/>
            </w:tblPr>
            <w:tblGrid>
              <w:gridCol w:w="560"/>
              <w:gridCol w:w="2413"/>
            </w:tblGrid>
            <w:tr w:rsidR="00674FBB">
              <w:trPr>
                <w:tblCellSpacing w:w="0" w:type="dxa"/>
              </w:trPr>
              <w:tc>
                <w:tcPr>
                  <w:tcW w:w="250" w:type="pct"/>
                  <w:hideMark/>
                </w:tcPr>
                <w:p w:rsidR="00674FBB" w:rsidRDefault="00674FBB">
                  <w:pPr>
                    <w:spacing w:before="20"/>
                    <w:ind w:right="180"/>
                    <w:rPr>
                      <w:sz w:val="24"/>
                    </w:rPr>
                  </w:pPr>
                  <w:r>
                    <w:t>1)</w:t>
                  </w:r>
                </w:p>
              </w:tc>
              <w:tc>
                <w:tcPr>
                  <w:tcW w:w="4750" w:type="pct"/>
                  <w:hideMark/>
                </w:tcPr>
                <w:p w:rsidR="00674FBB" w:rsidRDefault="00674FBB">
                  <w:pPr>
                    <w:spacing w:before="20"/>
                    <w:ind w:left="20"/>
                    <w:rPr>
                      <w:sz w:val="24"/>
                    </w:rPr>
                  </w:pPr>
                  <w:r>
                    <w:t>2153757  Åben:  Bilag 1 - Skitseprojekt Rambøll.pdf</w:t>
                  </w:r>
                </w:p>
              </w:tc>
            </w:tr>
            <w:tr w:rsidR="00674FBB">
              <w:trPr>
                <w:tblCellSpacing w:w="0" w:type="dxa"/>
              </w:trPr>
              <w:tc>
                <w:tcPr>
                  <w:tcW w:w="250" w:type="pct"/>
                  <w:hideMark/>
                </w:tcPr>
                <w:p w:rsidR="00674FBB" w:rsidRDefault="00674FBB">
                  <w:pPr>
                    <w:spacing w:before="20"/>
                    <w:ind w:right="180"/>
                    <w:rPr>
                      <w:sz w:val="24"/>
                    </w:rPr>
                  </w:pPr>
                  <w:r>
                    <w:t>2)</w:t>
                  </w:r>
                </w:p>
              </w:tc>
              <w:tc>
                <w:tcPr>
                  <w:tcW w:w="4750" w:type="pct"/>
                  <w:hideMark/>
                </w:tcPr>
                <w:p w:rsidR="00674FBB" w:rsidRDefault="00674FBB">
                  <w:pPr>
                    <w:spacing w:before="20"/>
                    <w:ind w:left="20"/>
                    <w:rPr>
                      <w:sz w:val="24"/>
                    </w:rPr>
                  </w:pPr>
                  <w:r>
                    <w:t>2153753  Åben:  Bilag 2 - Skitseprojekt Orbicon.pdf</w:t>
                  </w:r>
                </w:p>
              </w:tc>
            </w:tr>
            <w:tr w:rsidR="00674FBB">
              <w:trPr>
                <w:tblCellSpacing w:w="0" w:type="dxa"/>
              </w:trPr>
              <w:tc>
                <w:tcPr>
                  <w:tcW w:w="250" w:type="pct"/>
                  <w:hideMark/>
                </w:tcPr>
                <w:p w:rsidR="00674FBB" w:rsidRDefault="00674FBB">
                  <w:pPr>
                    <w:spacing w:before="20"/>
                    <w:ind w:right="180"/>
                    <w:rPr>
                      <w:sz w:val="24"/>
                    </w:rPr>
                  </w:pPr>
                  <w:r>
                    <w:t>3)</w:t>
                  </w:r>
                </w:p>
              </w:tc>
              <w:tc>
                <w:tcPr>
                  <w:tcW w:w="4750" w:type="pct"/>
                  <w:hideMark/>
                </w:tcPr>
                <w:p w:rsidR="00674FBB" w:rsidRDefault="00674FBB">
                  <w:pPr>
                    <w:spacing w:before="20"/>
                    <w:ind w:left="20"/>
                    <w:rPr>
                      <w:sz w:val="24"/>
                    </w:rPr>
                  </w:pPr>
                  <w:r>
                    <w:t>2153755  Åben:  Bilag 3 - Skitseprojekt Schønherr.pdf</w:t>
                  </w:r>
                </w:p>
              </w:tc>
            </w:tr>
            <w:tr w:rsidR="00674FBB">
              <w:trPr>
                <w:tblCellSpacing w:w="0" w:type="dxa"/>
              </w:trPr>
              <w:tc>
                <w:tcPr>
                  <w:tcW w:w="250" w:type="pct"/>
                  <w:hideMark/>
                </w:tcPr>
                <w:p w:rsidR="00674FBB" w:rsidRDefault="00674FBB">
                  <w:pPr>
                    <w:spacing w:before="20"/>
                    <w:ind w:right="180"/>
                    <w:rPr>
                      <w:sz w:val="24"/>
                    </w:rPr>
                  </w:pPr>
                  <w:r>
                    <w:t>4)</w:t>
                  </w:r>
                </w:p>
              </w:tc>
              <w:tc>
                <w:tcPr>
                  <w:tcW w:w="4750" w:type="pct"/>
                  <w:hideMark/>
                </w:tcPr>
                <w:p w:rsidR="00674FBB" w:rsidRDefault="00674FBB">
                  <w:pPr>
                    <w:spacing w:before="20"/>
                    <w:ind w:left="20"/>
                    <w:rPr>
                      <w:sz w:val="24"/>
                    </w:rPr>
                  </w:pPr>
                  <w:r>
                    <w:t>2161940  Åben:  Bilag 4 - Oplæg til helhedsplan for Sct. Knudsgade, Dagmarsgade og Pileborggade.pdf</w:t>
                  </w:r>
                </w:p>
              </w:tc>
            </w:tr>
            <w:tr w:rsidR="00674FBB">
              <w:trPr>
                <w:tblCellSpacing w:w="0" w:type="dxa"/>
              </w:trPr>
              <w:tc>
                <w:tcPr>
                  <w:tcW w:w="250" w:type="pct"/>
                  <w:hideMark/>
                </w:tcPr>
                <w:p w:rsidR="00674FBB" w:rsidRDefault="00674FBB">
                  <w:pPr>
                    <w:spacing w:before="20"/>
                    <w:ind w:right="180"/>
                    <w:rPr>
                      <w:sz w:val="24"/>
                    </w:rPr>
                  </w:pPr>
                  <w:r>
                    <w:t>5)</w:t>
                  </w:r>
                </w:p>
              </w:tc>
              <w:tc>
                <w:tcPr>
                  <w:tcW w:w="4750" w:type="pct"/>
                  <w:hideMark/>
                </w:tcPr>
                <w:p w:rsidR="00674FBB" w:rsidRDefault="00674FBB">
                  <w:pPr>
                    <w:spacing w:before="20"/>
                    <w:ind w:left="20"/>
                    <w:rPr>
                      <w:sz w:val="24"/>
                    </w:rPr>
                  </w:pPr>
                  <w:r>
                    <w:t>2153779  Åben:  Bilag 5 - Trafikanalyser i bymidten version 1.0.pdf</w:t>
                  </w:r>
                </w:p>
              </w:tc>
            </w:tr>
            <w:tr w:rsidR="00674FBB">
              <w:trPr>
                <w:tblCellSpacing w:w="0" w:type="dxa"/>
              </w:trPr>
              <w:tc>
                <w:tcPr>
                  <w:tcW w:w="250" w:type="pct"/>
                  <w:hideMark/>
                </w:tcPr>
                <w:p w:rsidR="00674FBB" w:rsidRDefault="00674FBB">
                  <w:pPr>
                    <w:spacing w:before="20"/>
                    <w:ind w:right="180"/>
                    <w:rPr>
                      <w:sz w:val="24"/>
                    </w:rPr>
                  </w:pPr>
                  <w:r>
                    <w:t>6)</w:t>
                  </w:r>
                </w:p>
              </w:tc>
              <w:tc>
                <w:tcPr>
                  <w:tcW w:w="4750" w:type="pct"/>
                  <w:hideMark/>
                </w:tcPr>
                <w:p w:rsidR="00674FBB" w:rsidRDefault="00674FBB">
                  <w:pPr>
                    <w:spacing w:before="20"/>
                    <w:ind w:left="20"/>
                    <w:rPr>
                      <w:sz w:val="24"/>
                    </w:rPr>
                  </w:pPr>
                  <w:r>
                    <w:t>2153782  Åben:  Bilag 6 - Lokalplan 33.pdf</w:t>
                  </w:r>
                </w:p>
              </w:tc>
            </w:tr>
            <w:tr w:rsidR="00674FBB">
              <w:trPr>
                <w:tblCellSpacing w:w="0" w:type="dxa"/>
              </w:trPr>
              <w:tc>
                <w:tcPr>
                  <w:tcW w:w="250" w:type="pct"/>
                  <w:hideMark/>
                </w:tcPr>
                <w:p w:rsidR="00674FBB" w:rsidRDefault="00674FBB">
                  <w:pPr>
                    <w:spacing w:before="20"/>
                    <w:ind w:right="180"/>
                    <w:rPr>
                      <w:sz w:val="24"/>
                    </w:rPr>
                  </w:pPr>
                  <w:r>
                    <w:t>7)</w:t>
                  </w:r>
                </w:p>
              </w:tc>
              <w:tc>
                <w:tcPr>
                  <w:tcW w:w="4750" w:type="pct"/>
                  <w:hideMark/>
                </w:tcPr>
                <w:p w:rsidR="00674FBB" w:rsidRDefault="00674FBB">
                  <w:pPr>
                    <w:spacing w:before="20"/>
                    <w:ind w:left="20"/>
                    <w:rPr>
                      <w:sz w:val="24"/>
                    </w:rPr>
                  </w:pPr>
                  <w:r>
                    <w:t>2153784  Åben:  Bilag 7 - Trafiksikkerhedsplan 2010.pdf</w:t>
                  </w:r>
                </w:p>
              </w:tc>
            </w:tr>
            <w:tr w:rsidR="00674FBB">
              <w:trPr>
                <w:tblCellSpacing w:w="0" w:type="dxa"/>
              </w:trPr>
              <w:tc>
                <w:tcPr>
                  <w:tcW w:w="250" w:type="pct"/>
                  <w:hideMark/>
                </w:tcPr>
                <w:p w:rsidR="00674FBB" w:rsidRDefault="00674FBB">
                  <w:pPr>
                    <w:spacing w:before="20"/>
                    <w:ind w:right="180"/>
                    <w:rPr>
                      <w:sz w:val="24"/>
                    </w:rPr>
                  </w:pPr>
                  <w:r>
                    <w:t>8)</w:t>
                  </w:r>
                </w:p>
              </w:tc>
              <w:tc>
                <w:tcPr>
                  <w:tcW w:w="4750" w:type="pct"/>
                  <w:hideMark/>
                </w:tcPr>
                <w:p w:rsidR="00674FBB" w:rsidRDefault="00674FBB">
                  <w:pPr>
                    <w:spacing w:before="20"/>
                    <w:ind w:left="20"/>
                    <w:rPr>
                      <w:sz w:val="24"/>
                    </w:rPr>
                  </w:pPr>
                  <w:r>
                    <w:t>2153788  Åben:  Bilag 8 - Referat møde med Trafiksikkerhedsrådet 26.04.2016</w:t>
                  </w:r>
                </w:p>
              </w:tc>
            </w:tr>
            <w:tr w:rsidR="00674FBB">
              <w:trPr>
                <w:tblCellSpacing w:w="0" w:type="dxa"/>
              </w:trPr>
              <w:tc>
                <w:tcPr>
                  <w:tcW w:w="250" w:type="pct"/>
                  <w:hideMark/>
                </w:tcPr>
                <w:p w:rsidR="00674FBB" w:rsidRDefault="00674FBB">
                  <w:pPr>
                    <w:spacing w:before="20"/>
                    <w:ind w:right="180"/>
                    <w:rPr>
                      <w:sz w:val="24"/>
                    </w:rPr>
                  </w:pPr>
                  <w:r>
                    <w:t>9)</w:t>
                  </w:r>
                </w:p>
              </w:tc>
              <w:tc>
                <w:tcPr>
                  <w:tcW w:w="4750" w:type="pct"/>
                  <w:hideMark/>
                </w:tcPr>
                <w:p w:rsidR="00674FBB" w:rsidRDefault="00674FBB">
                  <w:pPr>
                    <w:spacing w:before="20"/>
                    <w:ind w:left="20"/>
                    <w:rPr>
                      <w:sz w:val="24"/>
                    </w:rPr>
                  </w:pPr>
                  <w:r>
                    <w:t xml:space="preserve">2153792  Åben:  Bilag 9 - Referat møde med </w:t>
                  </w:r>
                  <w:r>
                    <w:lastRenderedPageBreak/>
                    <w:t>Trafiksikkerhedsrådet 29.08.2016.pdf</w:t>
                  </w:r>
                </w:p>
              </w:tc>
            </w:tr>
            <w:tr w:rsidR="00674FBB">
              <w:trPr>
                <w:tblCellSpacing w:w="0" w:type="dxa"/>
              </w:trPr>
              <w:tc>
                <w:tcPr>
                  <w:tcW w:w="250" w:type="pct"/>
                  <w:hideMark/>
                </w:tcPr>
                <w:p w:rsidR="00674FBB" w:rsidRDefault="00674FBB">
                  <w:pPr>
                    <w:spacing w:before="20"/>
                    <w:ind w:right="180"/>
                    <w:rPr>
                      <w:sz w:val="24"/>
                    </w:rPr>
                  </w:pPr>
                  <w:r>
                    <w:lastRenderedPageBreak/>
                    <w:t>10)</w:t>
                  </w:r>
                </w:p>
              </w:tc>
              <w:tc>
                <w:tcPr>
                  <w:tcW w:w="4750" w:type="pct"/>
                  <w:hideMark/>
                </w:tcPr>
                <w:p w:rsidR="00674FBB" w:rsidRDefault="00674FBB">
                  <w:pPr>
                    <w:spacing w:before="20"/>
                    <w:ind w:left="20"/>
                    <w:rPr>
                      <w:sz w:val="24"/>
                    </w:rPr>
                  </w:pPr>
                  <w:r>
                    <w:t>2157335  Åben:  Bilag 10 - Samlede kommentarer til skitseprojekt.pdf</w:t>
                  </w:r>
                </w:p>
              </w:tc>
            </w:tr>
          </w:tbl>
          <w:p w:rsidR="00674FBB" w:rsidRDefault="00674FBB">
            <w:pPr>
              <w:rPr>
                <w:sz w:val="24"/>
              </w:rPr>
            </w:pPr>
          </w:p>
        </w:tc>
      </w:tr>
    </w:tbl>
    <w:p w:rsidR="00674FBB" w:rsidRDefault="00674FBB">
      <w:pPr>
        <w:textAlignment w:val="top"/>
        <w:divId w:val="1739863707"/>
        <w:rPr>
          <w:b/>
          <w:bCs/>
        </w:rPr>
      </w:pPr>
      <w:r>
        <w:rPr>
          <w:b/>
          <w:bCs/>
        </w:rPr>
        <w:lastRenderedPageBreak/>
        <w:t>Indledning</w:t>
      </w:r>
    </w:p>
    <w:p w:rsidR="00674FBB" w:rsidRDefault="00674FBB">
      <w:pPr>
        <w:pStyle w:val="NormalWeb"/>
        <w:divId w:val="805318309"/>
        <w:rPr>
          <w:rFonts w:eastAsiaTheme="minorEastAsia"/>
        </w:rPr>
      </w:pPr>
      <w:r>
        <w:t xml:space="preserve">Sagsgang </w:t>
      </w:r>
    </w:p>
    <w:tbl>
      <w:tblPr>
        <w:tblW w:w="5000" w:type="pct"/>
        <w:tblCellMar>
          <w:left w:w="0" w:type="dxa"/>
          <w:right w:w="0" w:type="dxa"/>
        </w:tblCellMar>
        <w:tblLook w:val="04A0" w:firstRow="1" w:lastRow="0" w:firstColumn="1" w:lastColumn="0" w:noHBand="0" w:noVBand="1"/>
      </w:tblPr>
      <w:tblGrid>
        <w:gridCol w:w="1887"/>
        <w:gridCol w:w="894"/>
        <w:gridCol w:w="894"/>
        <w:gridCol w:w="894"/>
        <w:gridCol w:w="894"/>
        <w:gridCol w:w="894"/>
        <w:gridCol w:w="894"/>
        <w:gridCol w:w="894"/>
        <w:gridCol w:w="895"/>
      </w:tblGrid>
      <w:tr w:rsidR="00674FBB">
        <w:trPr>
          <w:divId w:val="805318309"/>
          <w:cantSplit/>
        </w:trPr>
        <w:tc>
          <w:tcPr>
            <w:tcW w:w="950" w:type="pct"/>
            <w:tcBorders>
              <w:top w:val="outset" w:sz="8" w:space="0" w:color="111111"/>
              <w:left w:val="outset" w:sz="8" w:space="0" w:color="111111"/>
              <w:bottom w:val="outset" w:sz="8" w:space="0" w:color="111111"/>
              <w:right w:val="outset" w:sz="8" w:space="0" w:color="111111"/>
            </w:tcBorders>
            <w:tcMar>
              <w:top w:w="20" w:type="dxa"/>
              <w:left w:w="20" w:type="dxa"/>
              <w:bottom w:w="20" w:type="dxa"/>
              <w:right w:w="20" w:type="dxa"/>
            </w:tcMar>
            <w:vAlign w:val="center"/>
            <w:hideMark/>
          </w:tcPr>
          <w:p w:rsidR="00674FBB" w:rsidRDefault="00674FBB">
            <w:pPr>
              <w:pStyle w:val="NormalWeb"/>
              <w:rPr>
                <w:rFonts w:eastAsiaTheme="minorEastAsia"/>
              </w:rPr>
            </w:pPr>
            <w:r>
              <w:t xml:space="preserve">  </w:t>
            </w:r>
          </w:p>
        </w:tc>
        <w:tc>
          <w:tcPr>
            <w:tcW w:w="450" w:type="pct"/>
            <w:tcBorders>
              <w:top w:val="outset" w:sz="8" w:space="0" w:color="111111"/>
              <w:left w:val="nil"/>
              <w:bottom w:val="outset" w:sz="8" w:space="0" w:color="111111"/>
              <w:right w:val="outset" w:sz="8" w:space="0" w:color="111111"/>
            </w:tcBorders>
            <w:tcMar>
              <w:top w:w="80" w:type="dxa"/>
              <w:left w:w="15" w:type="dxa"/>
              <w:bottom w:w="20" w:type="dxa"/>
              <w:right w:w="20" w:type="dxa"/>
            </w:tcMar>
            <w:vAlign w:val="center"/>
            <w:hideMark/>
          </w:tcPr>
          <w:p w:rsidR="00674FBB" w:rsidRDefault="00674FBB">
            <w:pPr>
              <w:pStyle w:val="NormalWeb"/>
              <w:jc w:val="center"/>
              <w:rPr>
                <w:rFonts w:eastAsiaTheme="minorEastAsia"/>
              </w:rPr>
            </w:pPr>
            <w:r>
              <w:t xml:space="preserve">BY </w:t>
            </w:r>
          </w:p>
        </w:tc>
        <w:tc>
          <w:tcPr>
            <w:tcW w:w="450" w:type="pct"/>
            <w:tcBorders>
              <w:top w:val="outset" w:sz="8" w:space="0" w:color="111111"/>
              <w:left w:val="nil"/>
              <w:bottom w:val="outset" w:sz="8" w:space="0" w:color="111111"/>
              <w:right w:val="outset" w:sz="8" w:space="0" w:color="111111"/>
            </w:tcBorders>
            <w:tcMar>
              <w:top w:w="80" w:type="dxa"/>
              <w:left w:w="15" w:type="dxa"/>
              <w:bottom w:w="20" w:type="dxa"/>
              <w:right w:w="20" w:type="dxa"/>
            </w:tcMar>
            <w:vAlign w:val="center"/>
            <w:hideMark/>
          </w:tcPr>
          <w:p w:rsidR="00674FBB" w:rsidRDefault="00674FBB">
            <w:pPr>
              <w:pStyle w:val="NormalWeb"/>
              <w:jc w:val="center"/>
              <w:rPr>
                <w:rFonts w:eastAsiaTheme="minorEastAsia"/>
              </w:rPr>
            </w:pPr>
            <w:r>
              <w:t xml:space="preserve">ØK </w:t>
            </w:r>
          </w:p>
        </w:tc>
        <w:tc>
          <w:tcPr>
            <w:tcW w:w="450" w:type="pct"/>
            <w:tcBorders>
              <w:top w:val="outset" w:sz="8" w:space="0" w:color="111111"/>
              <w:left w:val="nil"/>
              <w:bottom w:val="outset" w:sz="8" w:space="0" w:color="111111"/>
              <w:right w:val="outset" w:sz="8" w:space="0" w:color="111111"/>
            </w:tcBorders>
            <w:tcMar>
              <w:top w:w="80" w:type="dxa"/>
              <w:left w:w="15" w:type="dxa"/>
              <w:bottom w:w="20" w:type="dxa"/>
              <w:right w:w="20" w:type="dxa"/>
            </w:tcMar>
            <w:vAlign w:val="center"/>
            <w:hideMark/>
          </w:tcPr>
          <w:p w:rsidR="00674FBB" w:rsidRDefault="00674FBB">
            <w:pPr>
              <w:pStyle w:val="NormalWeb"/>
              <w:jc w:val="center"/>
              <w:rPr>
                <w:rFonts w:eastAsiaTheme="minorEastAsia"/>
              </w:rPr>
            </w:pPr>
            <w:r>
              <w:t xml:space="preserve">ÆGU </w:t>
            </w:r>
          </w:p>
        </w:tc>
        <w:tc>
          <w:tcPr>
            <w:tcW w:w="450" w:type="pct"/>
            <w:tcBorders>
              <w:top w:val="outset" w:sz="8" w:space="0" w:color="111111"/>
              <w:left w:val="nil"/>
              <w:bottom w:val="outset" w:sz="8" w:space="0" w:color="111111"/>
              <w:right w:val="outset" w:sz="8" w:space="0" w:color="111111"/>
            </w:tcBorders>
            <w:tcMar>
              <w:top w:w="80" w:type="dxa"/>
              <w:left w:w="15" w:type="dxa"/>
              <w:bottom w:w="20" w:type="dxa"/>
              <w:right w:w="20" w:type="dxa"/>
            </w:tcMar>
            <w:vAlign w:val="center"/>
            <w:hideMark/>
          </w:tcPr>
          <w:p w:rsidR="00674FBB" w:rsidRDefault="00674FBB">
            <w:pPr>
              <w:pStyle w:val="NormalWeb"/>
              <w:jc w:val="center"/>
              <w:rPr>
                <w:rFonts w:eastAsiaTheme="minorEastAsia"/>
              </w:rPr>
            </w:pPr>
            <w:r>
              <w:t xml:space="preserve">PBU </w:t>
            </w:r>
          </w:p>
        </w:tc>
        <w:tc>
          <w:tcPr>
            <w:tcW w:w="450" w:type="pct"/>
            <w:tcBorders>
              <w:top w:val="outset" w:sz="8" w:space="0" w:color="111111"/>
              <w:left w:val="nil"/>
              <w:bottom w:val="outset" w:sz="8" w:space="0" w:color="111111"/>
              <w:right w:val="outset" w:sz="8" w:space="0" w:color="111111"/>
            </w:tcBorders>
            <w:tcMar>
              <w:top w:w="80" w:type="dxa"/>
              <w:left w:w="15" w:type="dxa"/>
              <w:bottom w:w="20" w:type="dxa"/>
              <w:right w:w="20" w:type="dxa"/>
            </w:tcMar>
            <w:vAlign w:val="center"/>
            <w:hideMark/>
          </w:tcPr>
          <w:p w:rsidR="00674FBB" w:rsidRDefault="00674FBB">
            <w:pPr>
              <w:pStyle w:val="NormalWeb"/>
              <w:jc w:val="center"/>
              <w:rPr>
                <w:rFonts w:eastAsiaTheme="minorEastAsia"/>
              </w:rPr>
            </w:pPr>
            <w:r>
              <w:t xml:space="preserve">KMU </w:t>
            </w:r>
          </w:p>
        </w:tc>
        <w:tc>
          <w:tcPr>
            <w:tcW w:w="450" w:type="pct"/>
            <w:tcBorders>
              <w:top w:val="outset" w:sz="8" w:space="0" w:color="111111"/>
              <w:left w:val="nil"/>
              <w:bottom w:val="outset" w:sz="8" w:space="0" w:color="111111"/>
              <w:right w:val="outset" w:sz="8" w:space="0" w:color="111111"/>
            </w:tcBorders>
            <w:tcMar>
              <w:top w:w="80" w:type="dxa"/>
              <w:left w:w="15" w:type="dxa"/>
              <w:bottom w:w="20" w:type="dxa"/>
              <w:right w:w="20" w:type="dxa"/>
            </w:tcMar>
            <w:vAlign w:val="center"/>
            <w:hideMark/>
          </w:tcPr>
          <w:p w:rsidR="00674FBB" w:rsidRDefault="00674FBB">
            <w:pPr>
              <w:pStyle w:val="NormalWeb"/>
              <w:jc w:val="center"/>
              <w:rPr>
                <w:rFonts w:eastAsiaTheme="minorEastAsia"/>
              </w:rPr>
            </w:pPr>
            <w:r>
              <w:t xml:space="preserve">BUU </w:t>
            </w:r>
          </w:p>
        </w:tc>
        <w:tc>
          <w:tcPr>
            <w:tcW w:w="450" w:type="pct"/>
            <w:tcBorders>
              <w:top w:val="outset" w:sz="8" w:space="0" w:color="111111"/>
              <w:left w:val="nil"/>
              <w:bottom w:val="outset" w:sz="8" w:space="0" w:color="111111"/>
              <w:right w:val="outset" w:sz="8" w:space="0" w:color="111111"/>
            </w:tcBorders>
            <w:tcMar>
              <w:top w:w="80" w:type="dxa"/>
              <w:left w:w="15" w:type="dxa"/>
              <w:bottom w:w="20" w:type="dxa"/>
              <w:right w:w="20" w:type="dxa"/>
            </w:tcMar>
            <w:vAlign w:val="center"/>
            <w:hideMark/>
          </w:tcPr>
          <w:p w:rsidR="00674FBB" w:rsidRDefault="00674FBB">
            <w:pPr>
              <w:pStyle w:val="NormalWeb"/>
              <w:jc w:val="center"/>
              <w:rPr>
                <w:rFonts w:eastAsiaTheme="minorEastAsia"/>
              </w:rPr>
            </w:pPr>
            <w:r>
              <w:t xml:space="preserve">KTU </w:t>
            </w:r>
          </w:p>
        </w:tc>
        <w:tc>
          <w:tcPr>
            <w:tcW w:w="450" w:type="pct"/>
            <w:tcBorders>
              <w:top w:val="outset" w:sz="8" w:space="0" w:color="111111"/>
              <w:left w:val="nil"/>
              <w:bottom w:val="outset" w:sz="8" w:space="0" w:color="111111"/>
              <w:right w:val="outset" w:sz="8" w:space="0" w:color="111111"/>
            </w:tcBorders>
            <w:tcMar>
              <w:top w:w="80" w:type="dxa"/>
              <w:left w:w="15" w:type="dxa"/>
              <w:bottom w:w="20" w:type="dxa"/>
              <w:right w:w="20" w:type="dxa"/>
            </w:tcMar>
            <w:vAlign w:val="center"/>
            <w:hideMark/>
          </w:tcPr>
          <w:p w:rsidR="00674FBB" w:rsidRDefault="00674FBB">
            <w:pPr>
              <w:pStyle w:val="NormalWeb"/>
              <w:jc w:val="center"/>
              <w:rPr>
                <w:rFonts w:eastAsiaTheme="minorEastAsia"/>
              </w:rPr>
            </w:pPr>
            <w:r>
              <w:t xml:space="preserve">SAMU </w:t>
            </w:r>
          </w:p>
        </w:tc>
      </w:tr>
      <w:tr w:rsidR="00674FBB">
        <w:trPr>
          <w:divId w:val="805318309"/>
          <w:cantSplit/>
          <w:trHeight w:val="454"/>
        </w:trPr>
        <w:tc>
          <w:tcPr>
            <w:tcW w:w="0" w:type="auto"/>
            <w:tcBorders>
              <w:top w:val="nil"/>
              <w:left w:val="outset" w:sz="8" w:space="0" w:color="111111"/>
              <w:bottom w:val="outset" w:sz="8" w:space="0" w:color="111111"/>
              <w:right w:val="outset" w:sz="8" w:space="0" w:color="111111"/>
            </w:tcBorders>
            <w:tcMar>
              <w:top w:w="15" w:type="dxa"/>
              <w:left w:w="15" w:type="dxa"/>
              <w:bottom w:w="15" w:type="dxa"/>
              <w:right w:w="15" w:type="dxa"/>
            </w:tcMar>
            <w:vAlign w:val="center"/>
            <w:hideMark/>
          </w:tcPr>
          <w:p w:rsidR="00674FBB" w:rsidRDefault="00674FBB">
            <w:pPr>
              <w:pStyle w:val="NormalWeb"/>
              <w:rPr>
                <w:rFonts w:eastAsiaTheme="minorEastAsia"/>
              </w:rPr>
            </w:pPr>
            <w:r>
              <w:t>Orientering</w:t>
            </w:r>
          </w:p>
        </w:tc>
        <w:tc>
          <w:tcPr>
            <w:tcW w:w="0" w:type="auto"/>
            <w:tcBorders>
              <w:top w:val="nil"/>
              <w:left w:val="nil"/>
              <w:bottom w:val="outset" w:sz="8" w:space="0" w:color="111111"/>
              <w:right w:val="outset" w:sz="8" w:space="0" w:color="111111"/>
            </w:tcBorders>
            <w:tcMar>
              <w:top w:w="15" w:type="dxa"/>
              <w:left w:w="15" w:type="dxa"/>
              <w:bottom w:w="15" w:type="dxa"/>
              <w:right w:w="15" w:type="dxa"/>
            </w:tcMar>
            <w:vAlign w:val="center"/>
            <w:hideMark/>
          </w:tcPr>
          <w:p w:rsidR="00674FBB" w:rsidRDefault="00674FBB">
            <w:pPr>
              <w:rPr>
                <w:sz w:val="24"/>
              </w:rPr>
            </w:pPr>
          </w:p>
        </w:tc>
        <w:tc>
          <w:tcPr>
            <w:tcW w:w="0" w:type="auto"/>
            <w:tcBorders>
              <w:top w:val="nil"/>
              <w:left w:val="nil"/>
              <w:bottom w:val="outset" w:sz="8" w:space="0" w:color="111111"/>
              <w:right w:val="outset" w:sz="8" w:space="0" w:color="111111"/>
            </w:tcBorders>
            <w:tcMar>
              <w:top w:w="15" w:type="dxa"/>
              <w:left w:w="15" w:type="dxa"/>
              <w:bottom w:w="15" w:type="dxa"/>
              <w:right w:w="15" w:type="dxa"/>
            </w:tcMar>
            <w:vAlign w:val="center"/>
            <w:hideMark/>
          </w:tcPr>
          <w:p w:rsidR="00674FBB" w:rsidRDefault="00674FBB">
            <w:pPr>
              <w:rPr>
                <w:sz w:val="24"/>
              </w:rPr>
            </w:pPr>
          </w:p>
        </w:tc>
        <w:tc>
          <w:tcPr>
            <w:tcW w:w="0" w:type="auto"/>
            <w:tcBorders>
              <w:top w:val="nil"/>
              <w:left w:val="nil"/>
              <w:bottom w:val="outset" w:sz="8" w:space="0" w:color="111111"/>
              <w:right w:val="outset" w:sz="8" w:space="0" w:color="111111"/>
            </w:tcBorders>
            <w:tcMar>
              <w:top w:w="15" w:type="dxa"/>
              <w:left w:w="15" w:type="dxa"/>
              <w:bottom w:w="15" w:type="dxa"/>
              <w:right w:w="15" w:type="dxa"/>
            </w:tcMar>
            <w:vAlign w:val="center"/>
            <w:hideMark/>
          </w:tcPr>
          <w:p w:rsidR="00674FBB" w:rsidRDefault="00674FBB">
            <w:pPr>
              <w:rPr>
                <w:sz w:val="24"/>
              </w:rPr>
            </w:pPr>
          </w:p>
        </w:tc>
        <w:tc>
          <w:tcPr>
            <w:tcW w:w="0" w:type="auto"/>
            <w:tcBorders>
              <w:top w:val="nil"/>
              <w:left w:val="nil"/>
              <w:bottom w:val="outset" w:sz="8" w:space="0" w:color="111111"/>
              <w:right w:val="outset" w:sz="8" w:space="0" w:color="111111"/>
            </w:tcBorders>
            <w:tcMar>
              <w:top w:w="15" w:type="dxa"/>
              <w:left w:w="15" w:type="dxa"/>
              <w:bottom w:w="15" w:type="dxa"/>
              <w:right w:w="15" w:type="dxa"/>
            </w:tcMar>
            <w:vAlign w:val="center"/>
            <w:hideMark/>
          </w:tcPr>
          <w:p w:rsidR="00674FBB" w:rsidRDefault="00674FBB">
            <w:pPr>
              <w:rPr>
                <w:sz w:val="24"/>
              </w:rPr>
            </w:pPr>
          </w:p>
        </w:tc>
        <w:tc>
          <w:tcPr>
            <w:tcW w:w="0" w:type="auto"/>
            <w:tcBorders>
              <w:top w:val="nil"/>
              <w:left w:val="nil"/>
              <w:bottom w:val="outset" w:sz="8" w:space="0" w:color="111111"/>
              <w:right w:val="outset" w:sz="8" w:space="0" w:color="111111"/>
            </w:tcBorders>
            <w:tcMar>
              <w:top w:w="15" w:type="dxa"/>
              <w:left w:w="15" w:type="dxa"/>
              <w:bottom w:w="15" w:type="dxa"/>
              <w:right w:w="15" w:type="dxa"/>
            </w:tcMar>
            <w:vAlign w:val="center"/>
            <w:hideMark/>
          </w:tcPr>
          <w:p w:rsidR="00674FBB" w:rsidRDefault="00674FBB">
            <w:pPr>
              <w:rPr>
                <w:sz w:val="24"/>
              </w:rPr>
            </w:pPr>
          </w:p>
        </w:tc>
        <w:tc>
          <w:tcPr>
            <w:tcW w:w="0" w:type="auto"/>
            <w:tcBorders>
              <w:top w:val="nil"/>
              <w:left w:val="nil"/>
              <w:bottom w:val="outset" w:sz="8" w:space="0" w:color="111111"/>
              <w:right w:val="outset" w:sz="8" w:space="0" w:color="111111"/>
            </w:tcBorders>
            <w:tcMar>
              <w:top w:w="15" w:type="dxa"/>
              <w:left w:w="15" w:type="dxa"/>
              <w:bottom w:w="15" w:type="dxa"/>
              <w:right w:w="15" w:type="dxa"/>
            </w:tcMar>
            <w:vAlign w:val="center"/>
            <w:hideMark/>
          </w:tcPr>
          <w:p w:rsidR="00674FBB" w:rsidRDefault="00674FBB">
            <w:pPr>
              <w:rPr>
                <w:sz w:val="24"/>
              </w:rPr>
            </w:pPr>
          </w:p>
        </w:tc>
        <w:tc>
          <w:tcPr>
            <w:tcW w:w="0" w:type="auto"/>
            <w:tcBorders>
              <w:top w:val="nil"/>
              <w:left w:val="nil"/>
              <w:bottom w:val="outset" w:sz="8" w:space="0" w:color="111111"/>
              <w:right w:val="outset" w:sz="8" w:space="0" w:color="111111"/>
            </w:tcBorders>
            <w:tcMar>
              <w:top w:w="15" w:type="dxa"/>
              <w:left w:w="15" w:type="dxa"/>
              <w:bottom w:w="15" w:type="dxa"/>
              <w:right w:w="15" w:type="dxa"/>
            </w:tcMar>
            <w:vAlign w:val="center"/>
            <w:hideMark/>
          </w:tcPr>
          <w:p w:rsidR="00674FBB" w:rsidRDefault="00674FBB">
            <w:pPr>
              <w:rPr>
                <w:sz w:val="24"/>
              </w:rPr>
            </w:pPr>
          </w:p>
        </w:tc>
        <w:tc>
          <w:tcPr>
            <w:tcW w:w="0" w:type="auto"/>
            <w:tcBorders>
              <w:top w:val="nil"/>
              <w:left w:val="nil"/>
              <w:bottom w:val="outset" w:sz="8" w:space="0" w:color="111111"/>
              <w:right w:val="outset" w:sz="8" w:space="0" w:color="111111"/>
            </w:tcBorders>
            <w:tcMar>
              <w:top w:w="15" w:type="dxa"/>
              <w:left w:w="15" w:type="dxa"/>
              <w:bottom w:w="15" w:type="dxa"/>
              <w:right w:w="15" w:type="dxa"/>
            </w:tcMar>
            <w:vAlign w:val="center"/>
            <w:hideMark/>
          </w:tcPr>
          <w:p w:rsidR="00674FBB" w:rsidRDefault="00674FBB">
            <w:pPr>
              <w:rPr>
                <w:sz w:val="24"/>
              </w:rPr>
            </w:pPr>
          </w:p>
        </w:tc>
      </w:tr>
      <w:tr w:rsidR="00674FBB">
        <w:trPr>
          <w:divId w:val="805318309"/>
          <w:cantSplit/>
          <w:trHeight w:val="454"/>
        </w:trPr>
        <w:tc>
          <w:tcPr>
            <w:tcW w:w="0" w:type="auto"/>
            <w:tcBorders>
              <w:top w:val="nil"/>
              <w:left w:val="outset" w:sz="8" w:space="0" w:color="111111"/>
              <w:bottom w:val="outset" w:sz="8" w:space="0" w:color="111111"/>
              <w:right w:val="outset" w:sz="8" w:space="0" w:color="111111"/>
            </w:tcBorders>
            <w:tcMar>
              <w:top w:w="15" w:type="dxa"/>
              <w:left w:w="15" w:type="dxa"/>
              <w:bottom w:w="15" w:type="dxa"/>
              <w:right w:w="15" w:type="dxa"/>
            </w:tcMar>
            <w:vAlign w:val="center"/>
            <w:hideMark/>
          </w:tcPr>
          <w:p w:rsidR="00674FBB" w:rsidRDefault="00674FBB">
            <w:pPr>
              <w:pStyle w:val="NormalWeb"/>
              <w:rPr>
                <w:rFonts w:eastAsiaTheme="minorEastAsia"/>
              </w:rPr>
            </w:pPr>
            <w:r>
              <w:t>Indstilling</w:t>
            </w:r>
          </w:p>
        </w:tc>
        <w:tc>
          <w:tcPr>
            <w:tcW w:w="0" w:type="auto"/>
            <w:tcBorders>
              <w:top w:val="nil"/>
              <w:left w:val="nil"/>
              <w:bottom w:val="outset" w:sz="8" w:space="0" w:color="111111"/>
              <w:right w:val="outset" w:sz="8" w:space="0" w:color="111111"/>
            </w:tcBorders>
            <w:tcMar>
              <w:top w:w="15" w:type="dxa"/>
              <w:left w:w="15" w:type="dxa"/>
              <w:bottom w:w="15" w:type="dxa"/>
              <w:right w:w="15" w:type="dxa"/>
            </w:tcMar>
            <w:vAlign w:val="center"/>
            <w:hideMark/>
          </w:tcPr>
          <w:p w:rsidR="00674FBB" w:rsidRDefault="00674FBB">
            <w:pPr>
              <w:rPr>
                <w:sz w:val="24"/>
              </w:rPr>
            </w:pPr>
          </w:p>
        </w:tc>
        <w:tc>
          <w:tcPr>
            <w:tcW w:w="0" w:type="auto"/>
            <w:tcBorders>
              <w:top w:val="nil"/>
              <w:left w:val="nil"/>
              <w:bottom w:val="outset" w:sz="8" w:space="0" w:color="111111"/>
              <w:right w:val="outset" w:sz="8" w:space="0" w:color="111111"/>
            </w:tcBorders>
            <w:tcMar>
              <w:top w:w="15" w:type="dxa"/>
              <w:left w:w="15" w:type="dxa"/>
              <w:bottom w:w="15" w:type="dxa"/>
              <w:right w:w="15" w:type="dxa"/>
            </w:tcMar>
            <w:vAlign w:val="center"/>
            <w:hideMark/>
          </w:tcPr>
          <w:p w:rsidR="00674FBB" w:rsidRDefault="00674FBB">
            <w:pPr>
              <w:pStyle w:val="NormalWeb"/>
              <w:jc w:val="center"/>
              <w:rPr>
                <w:rFonts w:eastAsiaTheme="minorEastAsia"/>
              </w:rPr>
            </w:pPr>
            <w:r>
              <w:t>X</w:t>
            </w:r>
          </w:p>
        </w:tc>
        <w:tc>
          <w:tcPr>
            <w:tcW w:w="0" w:type="auto"/>
            <w:tcBorders>
              <w:top w:val="nil"/>
              <w:left w:val="nil"/>
              <w:bottom w:val="outset" w:sz="8" w:space="0" w:color="111111"/>
              <w:right w:val="outset" w:sz="8" w:space="0" w:color="111111"/>
            </w:tcBorders>
            <w:tcMar>
              <w:top w:w="15" w:type="dxa"/>
              <w:left w:w="15" w:type="dxa"/>
              <w:bottom w:w="15" w:type="dxa"/>
              <w:right w:w="15" w:type="dxa"/>
            </w:tcMar>
            <w:vAlign w:val="center"/>
            <w:hideMark/>
          </w:tcPr>
          <w:p w:rsidR="00674FBB" w:rsidRDefault="00674FBB">
            <w:pPr>
              <w:rPr>
                <w:sz w:val="24"/>
              </w:rPr>
            </w:pPr>
          </w:p>
        </w:tc>
        <w:tc>
          <w:tcPr>
            <w:tcW w:w="0" w:type="auto"/>
            <w:tcBorders>
              <w:top w:val="nil"/>
              <w:left w:val="nil"/>
              <w:bottom w:val="outset" w:sz="8" w:space="0" w:color="111111"/>
              <w:right w:val="outset" w:sz="8" w:space="0" w:color="111111"/>
            </w:tcBorders>
            <w:tcMar>
              <w:top w:w="15" w:type="dxa"/>
              <w:left w:w="15" w:type="dxa"/>
              <w:bottom w:w="15" w:type="dxa"/>
              <w:right w:w="15" w:type="dxa"/>
            </w:tcMar>
            <w:vAlign w:val="center"/>
            <w:hideMark/>
          </w:tcPr>
          <w:p w:rsidR="00674FBB" w:rsidRDefault="00674FBB">
            <w:pPr>
              <w:rPr>
                <w:sz w:val="24"/>
              </w:rPr>
            </w:pPr>
          </w:p>
        </w:tc>
        <w:tc>
          <w:tcPr>
            <w:tcW w:w="0" w:type="auto"/>
            <w:tcBorders>
              <w:top w:val="nil"/>
              <w:left w:val="nil"/>
              <w:bottom w:val="outset" w:sz="8" w:space="0" w:color="111111"/>
              <w:right w:val="outset" w:sz="8" w:space="0" w:color="111111"/>
            </w:tcBorders>
            <w:tcMar>
              <w:top w:w="15" w:type="dxa"/>
              <w:left w:w="15" w:type="dxa"/>
              <w:bottom w:w="15" w:type="dxa"/>
              <w:right w:w="15" w:type="dxa"/>
            </w:tcMar>
            <w:vAlign w:val="center"/>
            <w:hideMark/>
          </w:tcPr>
          <w:p w:rsidR="00674FBB" w:rsidRDefault="00674FBB">
            <w:pPr>
              <w:pStyle w:val="NormalWeb"/>
              <w:jc w:val="center"/>
              <w:rPr>
                <w:rFonts w:eastAsiaTheme="minorEastAsia"/>
              </w:rPr>
            </w:pPr>
            <w:r>
              <w:t>X</w:t>
            </w:r>
          </w:p>
        </w:tc>
        <w:tc>
          <w:tcPr>
            <w:tcW w:w="0" w:type="auto"/>
            <w:tcBorders>
              <w:top w:val="nil"/>
              <w:left w:val="nil"/>
              <w:bottom w:val="outset" w:sz="8" w:space="0" w:color="111111"/>
              <w:right w:val="outset" w:sz="8" w:space="0" w:color="111111"/>
            </w:tcBorders>
            <w:tcMar>
              <w:top w:w="15" w:type="dxa"/>
              <w:left w:w="15" w:type="dxa"/>
              <w:bottom w:w="15" w:type="dxa"/>
              <w:right w:w="15" w:type="dxa"/>
            </w:tcMar>
            <w:vAlign w:val="center"/>
            <w:hideMark/>
          </w:tcPr>
          <w:p w:rsidR="00674FBB" w:rsidRDefault="00674FBB">
            <w:pPr>
              <w:rPr>
                <w:sz w:val="24"/>
              </w:rPr>
            </w:pPr>
          </w:p>
        </w:tc>
        <w:tc>
          <w:tcPr>
            <w:tcW w:w="0" w:type="auto"/>
            <w:tcBorders>
              <w:top w:val="nil"/>
              <w:left w:val="nil"/>
              <w:bottom w:val="outset" w:sz="8" w:space="0" w:color="111111"/>
              <w:right w:val="outset" w:sz="8" w:space="0" w:color="111111"/>
            </w:tcBorders>
            <w:tcMar>
              <w:top w:w="15" w:type="dxa"/>
              <w:left w:w="15" w:type="dxa"/>
              <w:bottom w:w="15" w:type="dxa"/>
              <w:right w:w="15" w:type="dxa"/>
            </w:tcMar>
            <w:vAlign w:val="center"/>
            <w:hideMark/>
          </w:tcPr>
          <w:p w:rsidR="00674FBB" w:rsidRDefault="00674FBB">
            <w:pPr>
              <w:rPr>
                <w:sz w:val="24"/>
              </w:rPr>
            </w:pPr>
          </w:p>
        </w:tc>
        <w:tc>
          <w:tcPr>
            <w:tcW w:w="0" w:type="auto"/>
            <w:tcBorders>
              <w:top w:val="nil"/>
              <w:left w:val="nil"/>
              <w:bottom w:val="outset" w:sz="8" w:space="0" w:color="111111"/>
              <w:right w:val="outset" w:sz="8" w:space="0" w:color="111111"/>
            </w:tcBorders>
            <w:tcMar>
              <w:top w:w="15" w:type="dxa"/>
              <w:left w:w="15" w:type="dxa"/>
              <w:bottom w:w="15" w:type="dxa"/>
              <w:right w:w="15" w:type="dxa"/>
            </w:tcMar>
            <w:vAlign w:val="center"/>
            <w:hideMark/>
          </w:tcPr>
          <w:p w:rsidR="00674FBB" w:rsidRDefault="00674FBB">
            <w:pPr>
              <w:rPr>
                <w:sz w:val="24"/>
              </w:rPr>
            </w:pPr>
          </w:p>
        </w:tc>
      </w:tr>
      <w:tr w:rsidR="00674FBB">
        <w:trPr>
          <w:divId w:val="805318309"/>
          <w:cantSplit/>
          <w:trHeight w:val="454"/>
        </w:trPr>
        <w:tc>
          <w:tcPr>
            <w:tcW w:w="0" w:type="auto"/>
            <w:tcBorders>
              <w:top w:val="nil"/>
              <w:left w:val="outset" w:sz="8" w:space="0" w:color="111111"/>
              <w:bottom w:val="outset" w:sz="8" w:space="0" w:color="111111"/>
              <w:right w:val="outset" w:sz="8" w:space="0" w:color="111111"/>
            </w:tcBorders>
            <w:tcMar>
              <w:top w:w="15" w:type="dxa"/>
              <w:left w:w="15" w:type="dxa"/>
              <w:bottom w:w="15" w:type="dxa"/>
              <w:right w:w="15" w:type="dxa"/>
            </w:tcMar>
            <w:vAlign w:val="center"/>
            <w:hideMark/>
          </w:tcPr>
          <w:p w:rsidR="00674FBB" w:rsidRDefault="00674FBB">
            <w:pPr>
              <w:pStyle w:val="NormalWeb"/>
              <w:rPr>
                <w:rFonts w:eastAsiaTheme="minorEastAsia"/>
              </w:rPr>
            </w:pPr>
            <w:r>
              <w:t>Beslutning</w:t>
            </w:r>
          </w:p>
        </w:tc>
        <w:tc>
          <w:tcPr>
            <w:tcW w:w="0" w:type="auto"/>
            <w:tcBorders>
              <w:top w:val="nil"/>
              <w:left w:val="nil"/>
              <w:bottom w:val="outset" w:sz="8" w:space="0" w:color="111111"/>
              <w:right w:val="outset" w:sz="8" w:space="0" w:color="111111"/>
            </w:tcBorders>
            <w:tcMar>
              <w:top w:w="15" w:type="dxa"/>
              <w:left w:w="15" w:type="dxa"/>
              <w:bottom w:w="15" w:type="dxa"/>
              <w:right w:w="15" w:type="dxa"/>
            </w:tcMar>
            <w:vAlign w:val="center"/>
            <w:hideMark/>
          </w:tcPr>
          <w:p w:rsidR="00674FBB" w:rsidRDefault="00674FBB">
            <w:pPr>
              <w:pStyle w:val="NormalWeb"/>
              <w:jc w:val="center"/>
              <w:rPr>
                <w:rFonts w:eastAsiaTheme="minorEastAsia"/>
              </w:rPr>
            </w:pPr>
            <w:r>
              <w:t>X</w:t>
            </w:r>
          </w:p>
        </w:tc>
        <w:tc>
          <w:tcPr>
            <w:tcW w:w="0" w:type="auto"/>
            <w:tcBorders>
              <w:top w:val="nil"/>
              <w:left w:val="nil"/>
              <w:bottom w:val="outset" w:sz="8" w:space="0" w:color="111111"/>
              <w:right w:val="outset" w:sz="8" w:space="0" w:color="111111"/>
            </w:tcBorders>
            <w:tcMar>
              <w:top w:w="15" w:type="dxa"/>
              <w:left w:w="15" w:type="dxa"/>
              <w:bottom w:w="15" w:type="dxa"/>
              <w:right w:w="15" w:type="dxa"/>
            </w:tcMar>
            <w:vAlign w:val="center"/>
            <w:hideMark/>
          </w:tcPr>
          <w:p w:rsidR="00674FBB" w:rsidRDefault="00674FBB">
            <w:pPr>
              <w:rPr>
                <w:sz w:val="24"/>
              </w:rPr>
            </w:pPr>
          </w:p>
        </w:tc>
        <w:tc>
          <w:tcPr>
            <w:tcW w:w="0" w:type="auto"/>
            <w:tcBorders>
              <w:top w:val="nil"/>
              <w:left w:val="nil"/>
              <w:bottom w:val="outset" w:sz="8" w:space="0" w:color="111111"/>
              <w:right w:val="outset" w:sz="8" w:space="0" w:color="111111"/>
            </w:tcBorders>
            <w:tcMar>
              <w:top w:w="15" w:type="dxa"/>
              <w:left w:w="15" w:type="dxa"/>
              <w:bottom w:w="15" w:type="dxa"/>
              <w:right w:w="15" w:type="dxa"/>
            </w:tcMar>
            <w:vAlign w:val="center"/>
            <w:hideMark/>
          </w:tcPr>
          <w:p w:rsidR="00674FBB" w:rsidRDefault="00674FBB">
            <w:pPr>
              <w:rPr>
                <w:sz w:val="24"/>
              </w:rPr>
            </w:pPr>
          </w:p>
        </w:tc>
        <w:tc>
          <w:tcPr>
            <w:tcW w:w="0" w:type="auto"/>
            <w:tcBorders>
              <w:top w:val="nil"/>
              <w:left w:val="nil"/>
              <w:bottom w:val="outset" w:sz="8" w:space="0" w:color="111111"/>
              <w:right w:val="outset" w:sz="8" w:space="0" w:color="111111"/>
            </w:tcBorders>
            <w:tcMar>
              <w:top w:w="15" w:type="dxa"/>
              <w:left w:w="15" w:type="dxa"/>
              <w:bottom w:w="15" w:type="dxa"/>
              <w:right w:w="15" w:type="dxa"/>
            </w:tcMar>
            <w:vAlign w:val="center"/>
            <w:hideMark/>
          </w:tcPr>
          <w:p w:rsidR="00674FBB" w:rsidRDefault="00674FBB">
            <w:pPr>
              <w:rPr>
                <w:sz w:val="24"/>
              </w:rPr>
            </w:pPr>
          </w:p>
        </w:tc>
        <w:tc>
          <w:tcPr>
            <w:tcW w:w="0" w:type="auto"/>
            <w:tcBorders>
              <w:top w:val="nil"/>
              <w:left w:val="nil"/>
              <w:bottom w:val="outset" w:sz="8" w:space="0" w:color="111111"/>
              <w:right w:val="outset" w:sz="8" w:space="0" w:color="111111"/>
            </w:tcBorders>
            <w:tcMar>
              <w:top w:w="15" w:type="dxa"/>
              <w:left w:w="15" w:type="dxa"/>
              <w:bottom w:w="15" w:type="dxa"/>
              <w:right w:w="15" w:type="dxa"/>
            </w:tcMar>
            <w:vAlign w:val="center"/>
            <w:hideMark/>
          </w:tcPr>
          <w:p w:rsidR="00674FBB" w:rsidRDefault="00674FBB">
            <w:pPr>
              <w:rPr>
                <w:sz w:val="24"/>
              </w:rPr>
            </w:pPr>
          </w:p>
        </w:tc>
        <w:tc>
          <w:tcPr>
            <w:tcW w:w="0" w:type="auto"/>
            <w:tcBorders>
              <w:top w:val="nil"/>
              <w:left w:val="nil"/>
              <w:bottom w:val="outset" w:sz="8" w:space="0" w:color="111111"/>
              <w:right w:val="outset" w:sz="8" w:space="0" w:color="111111"/>
            </w:tcBorders>
            <w:tcMar>
              <w:top w:w="15" w:type="dxa"/>
              <w:left w:w="15" w:type="dxa"/>
              <w:bottom w:w="15" w:type="dxa"/>
              <w:right w:w="15" w:type="dxa"/>
            </w:tcMar>
            <w:vAlign w:val="center"/>
            <w:hideMark/>
          </w:tcPr>
          <w:p w:rsidR="00674FBB" w:rsidRDefault="00674FBB">
            <w:pPr>
              <w:rPr>
                <w:sz w:val="24"/>
              </w:rPr>
            </w:pPr>
          </w:p>
        </w:tc>
        <w:tc>
          <w:tcPr>
            <w:tcW w:w="0" w:type="auto"/>
            <w:tcBorders>
              <w:top w:val="nil"/>
              <w:left w:val="nil"/>
              <w:bottom w:val="outset" w:sz="8" w:space="0" w:color="111111"/>
              <w:right w:val="outset" w:sz="8" w:space="0" w:color="111111"/>
            </w:tcBorders>
            <w:tcMar>
              <w:top w:w="15" w:type="dxa"/>
              <w:left w:w="15" w:type="dxa"/>
              <w:bottom w:w="15" w:type="dxa"/>
              <w:right w:w="15" w:type="dxa"/>
            </w:tcMar>
            <w:vAlign w:val="center"/>
            <w:hideMark/>
          </w:tcPr>
          <w:p w:rsidR="00674FBB" w:rsidRDefault="00674FBB">
            <w:pPr>
              <w:rPr>
                <w:sz w:val="24"/>
              </w:rPr>
            </w:pPr>
          </w:p>
        </w:tc>
        <w:tc>
          <w:tcPr>
            <w:tcW w:w="0" w:type="auto"/>
            <w:tcBorders>
              <w:top w:val="nil"/>
              <w:left w:val="nil"/>
              <w:bottom w:val="outset" w:sz="8" w:space="0" w:color="111111"/>
              <w:right w:val="outset" w:sz="8" w:space="0" w:color="111111"/>
            </w:tcBorders>
            <w:tcMar>
              <w:top w:w="15" w:type="dxa"/>
              <w:left w:w="15" w:type="dxa"/>
              <w:bottom w:w="15" w:type="dxa"/>
              <w:right w:w="15" w:type="dxa"/>
            </w:tcMar>
            <w:vAlign w:val="center"/>
            <w:hideMark/>
          </w:tcPr>
          <w:p w:rsidR="00674FBB" w:rsidRDefault="00674FBB">
            <w:pPr>
              <w:rPr>
                <w:sz w:val="24"/>
              </w:rPr>
            </w:pPr>
          </w:p>
        </w:tc>
      </w:tr>
    </w:tbl>
    <w:p w:rsidR="00674FBB" w:rsidRDefault="00674FBB">
      <w:pPr>
        <w:pStyle w:val="NormalWeb"/>
        <w:divId w:val="805318309"/>
        <w:rPr>
          <w:rFonts w:eastAsiaTheme="minorEastAsia"/>
        </w:rPr>
      </w:pPr>
      <w:r>
        <w:t>BY=Byråd, ØK=Økonomiudvalg, ÆGU=Ældre- og Genoptræningsudvalg, PBU=Plan- og Boligudvalg, KMU=Klima- og Miljøudvalg, BUU=Børne- og Undervisningsudvalg, KTU=Kultur- og Trivselsudvalg, SAMU=Social- og Arbejdsmarkedsudvalg</w:t>
      </w:r>
    </w:p>
    <w:p w:rsidR="00674FBB" w:rsidRDefault="00674FBB">
      <w:pPr>
        <w:pStyle w:val="NormalWeb"/>
        <w:divId w:val="805318309"/>
      </w:pPr>
      <w:r>
        <w:t> </w:t>
      </w:r>
    </w:p>
    <w:p w:rsidR="00674FBB" w:rsidRDefault="00674FBB">
      <w:pPr>
        <w:pStyle w:val="NormalWeb"/>
        <w:divId w:val="805318309"/>
      </w:pPr>
      <w:r>
        <w:t>Den 9. maj 2016 gav Byrådet anlægsbevilling til indkøb af skitseprojekter for Sct. Knudsgade, Dagmarsgade og Pileborggade.</w:t>
      </w:r>
    </w:p>
    <w:p w:rsidR="00674FBB" w:rsidRDefault="00674FBB">
      <w:pPr>
        <w:pStyle w:val="NormalWeb"/>
        <w:divId w:val="805318309"/>
      </w:pPr>
      <w:r>
        <w:t> </w:t>
      </w:r>
    </w:p>
    <w:p w:rsidR="00674FBB" w:rsidRDefault="00674FBB">
      <w:pPr>
        <w:pStyle w:val="NormalWeb"/>
        <w:divId w:val="805318309"/>
      </w:pPr>
      <w:r>
        <w:t>Denne sag fremlægges med henblik på stillingtagen til en endelig helhedsplan for de tre gader samt anlægsbevilling til detailprojektering og udbud af Dagmarsgade i forbindelse med Ringsted Forsynings ledningsarbejder i 2017 samt til afsættelse af rådighedsbeløb til finansiering af bevillingen.</w:t>
      </w:r>
      <w:bookmarkStart w:id="1" w:name="AcadreMMBulletLastPosition"/>
    </w:p>
    <w:p w:rsidR="00674FBB" w:rsidRDefault="00674FBB">
      <w:pPr>
        <w:textAlignment w:val="top"/>
        <w:divId w:val="1739863707"/>
        <w:rPr>
          <w:b/>
          <w:bCs/>
        </w:rPr>
      </w:pPr>
      <w:r>
        <w:rPr>
          <w:b/>
          <w:bCs/>
        </w:rPr>
        <w:t>Beskrivelse af sagen</w:t>
      </w:r>
    </w:p>
    <w:p w:rsidR="00674FBB" w:rsidRDefault="00674FBB">
      <w:pPr>
        <w:pStyle w:val="NormalWeb"/>
        <w:divId w:val="939601735"/>
        <w:rPr>
          <w:rFonts w:eastAsiaTheme="minorEastAsia"/>
        </w:rPr>
      </w:pPr>
      <w:r>
        <w:t xml:space="preserve">Tre virksomheder (Rambøll, Orbicon og Schønherr) er som led i projektet kommet med forslag til den fremtidige indretning af de tre gader. Der var valgt tre forskellige virksomheder for at få forskellige løsningsmuligheder belyst. Fokus var især på forbedring af trafiksikkerheden og udvikling af et byrum af højere kvalitet. De tre skitseprojekter kan ses i </w:t>
      </w:r>
      <w:r>
        <w:rPr>
          <w:b/>
          <w:bCs/>
        </w:rPr>
        <w:t>Bilag 1</w:t>
      </w:r>
      <w:r>
        <w:t xml:space="preserve">, </w:t>
      </w:r>
      <w:r>
        <w:rPr>
          <w:b/>
          <w:bCs/>
        </w:rPr>
        <w:t>2</w:t>
      </w:r>
      <w:r>
        <w:t xml:space="preserve"> og </w:t>
      </w:r>
      <w:r>
        <w:rPr>
          <w:b/>
          <w:bCs/>
        </w:rPr>
        <w:t>3</w:t>
      </w:r>
      <w:r>
        <w:t xml:space="preserve">. Orbicon blev valgt til at arbejde videre med projektet og samle de bedste idéer til en helhedsplan for gaderne. Udkast til helhedsplan kan ses i </w:t>
      </w:r>
      <w:r>
        <w:rPr>
          <w:b/>
          <w:bCs/>
        </w:rPr>
        <w:t>Bilag 4</w:t>
      </w:r>
      <w:r>
        <w:t>.</w:t>
      </w:r>
    </w:p>
    <w:p w:rsidR="00674FBB" w:rsidRDefault="00674FBB">
      <w:pPr>
        <w:pStyle w:val="NormalWeb"/>
        <w:divId w:val="939601735"/>
      </w:pPr>
      <w:r>
        <w:t> </w:t>
      </w:r>
    </w:p>
    <w:p w:rsidR="00674FBB" w:rsidRDefault="00674FBB">
      <w:pPr>
        <w:pStyle w:val="NormalWeb"/>
        <w:divId w:val="939601735"/>
      </w:pPr>
      <w:r>
        <w:t>Da Dagmarsgade og Sct. Knudsgade er centrale i det trafikale system for Ringsted bymidte med både busser og mange bløde trafikanter, herunder en stor mængde skolebørn, foreslås det, at anlægge separate stier til cyklister i begge gader. Herunder følger en beskrivelse af forslaget til ændringer i de enkelte gader.</w:t>
      </w:r>
    </w:p>
    <w:p w:rsidR="00674FBB" w:rsidRDefault="00674FBB">
      <w:pPr>
        <w:pStyle w:val="NormalWeb"/>
        <w:divId w:val="939601735"/>
      </w:pPr>
      <w:r>
        <w:t> </w:t>
      </w:r>
    </w:p>
    <w:p w:rsidR="00674FBB" w:rsidRDefault="00674FBB">
      <w:pPr>
        <w:pStyle w:val="NormalWeb"/>
        <w:divId w:val="939601735"/>
      </w:pPr>
      <w:r>
        <w:rPr>
          <w:i/>
          <w:iCs/>
        </w:rPr>
        <w:t>Sct. Knudsgade</w:t>
      </w:r>
      <w:r>
        <w:br/>
        <w:t>For at skabe bedre forhold for både parkering, bilister, busser og cyklister foreslås det at fælde den eksisterende allé og genplante en ny allé tættere på vejmidten. På den måde kan vejens profil optimeres og cykelstien etableres på indersiden af de parkerede biler. Samtidig får de nye træer mere plads at gro på.</w:t>
      </w:r>
    </w:p>
    <w:p w:rsidR="00674FBB" w:rsidRDefault="00674FBB">
      <w:pPr>
        <w:pStyle w:val="NormalWeb"/>
        <w:divId w:val="939601735"/>
      </w:pPr>
      <w:r>
        <w:lastRenderedPageBreak/>
        <w:t> </w:t>
      </w:r>
    </w:p>
    <w:p w:rsidR="00674FBB" w:rsidRDefault="00674FBB">
      <w:pPr>
        <w:pStyle w:val="NormalWeb"/>
        <w:divId w:val="939601735"/>
      </w:pPr>
      <w:r>
        <w:t>I Sct. Knudsgade er der i dag skråparkering i den ene side. Af trafiksikkerhedshensyn foreslås dette erstattet med længdeparkering. Dette, kombineret med mere plads til de enkelte træer i en ny allé, reducerer antallet af parkeringsmuligheder på strækningen mellem Dagmarsgade og Bøllingsvej med ca. 18 (fra 56 til 38). Til gengæld lægges der op til at etablere 9 ekstra parkeringspladser (fra 13 til 22) mellem Bøllingsvej og Torvet i forhold til i dag. Dette giver flere torvenære parkeringsmuligheder. Parkeringsanalysen foretaget af COWI i juni 2015 (</w:t>
      </w:r>
      <w:r>
        <w:rPr>
          <w:b/>
          <w:bCs/>
        </w:rPr>
        <w:t>Bilag 5</w:t>
      </w:r>
      <w:r>
        <w:t>) viser, at der er et overskud af parkeringspladser i Sct. Knudsgade på denne strækning i dag. Den nærliggende (ca. 100 m) kommunale parkeringsplads på Schandorphsvej med 26 pladser kan i stedet benyttes.</w:t>
      </w:r>
    </w:p>
    <w:p w:rsidR="00674FBB" w:rsidRDefault="00674FBB">
      <w:pPr>
        <w:pStyle w:val="NormalWeb"/>
        <w:divId w:val="939601735"/>
      </w:pPr>
      <w:r>
        <w:t> </w:t>
      </w:r>
    </w:p>
    <w:p w:rsidR="00674FBB" w:rsidRDefault="00674FBB">
      <w:pPr>
        <w:pStyle w:val="NormalWeb"/>
        <w:divId w:val="939601735"/>
      </w:pPr>
      <w:r>
        <w:t>Ved Sankt Knuds Kirke foreslås en ”kiss and ride”-plads til afsætning af elever fra Sct. Joseph Skole. Denne plads vil også kunne bruges i forbindelse med kirkelige handlinger. Busstoppestederne på begge sider af gaden anlægges med perron mellem cykelsti og vejbane, da der ikke vil være plads til buslomme mellem træerne.</w:t>
      </w:r>
    </w:p>
    <w:p w:rsidR="00674FBB" w:rsidRDefault="00674FBB">
      <w:pPr>
        <w:pStyle w:val="NormalWeb"/>
        <w:divId w:val="939601735"/>
      </w:pPr>
      <w:r>
        <w:t> </w:t>
      </w:r>
    </w:p>
    <w:p w:rsidR="00674FBB" w:rsidRDefault="00674FBB">
      <w:pPr>
        <w:pStyle w:val="NormalWeb"/>
        <w:divId w:val="939601735"/>
      </w:pPr>
      <w:r>
        <w:rPr>
          <w:i/>
          <w:iCs/>
        </w:rPr>
        <w:t>Dagmarsgade</w:t>
      </w:r>
      <w:r>
        <w:rPr>
          <w:i/>
          <w:iCs/>
        </w:rPr>
        <w:br/>
      </w:r>
      <w:r>
        <w:t>Lokalplan 33 (</w:t>
      </w:r>
      <w:r>
        <w:rPr>
          <w:b/>
          <w:bCs/>
        </w:rPr>
        <w:t>Bilag 6</w:t>
      </w:r>
      <w:r>
        <w:t>) lægger op til et grønnere udtryk med træer i begge sider af gaden. Derfor er det hensigten at plante træer, hvor det kan indpasses i forhold til parkering langs vejen. Lokalplanen indeholder også krav om hastighedsdæmpende foranstaltninger, hvilket foreslås løst ved strategisk placerede hævede flader. Den nuværende indsnævring ved Anlægsvej fjernes og gøres dobbeltrettet, hvilket var det højest prioriterede tiltag i Trafiksikkerhedsplan 2010 (</w:t>
      </w:r>
      <w:r>
        <w:rPr>
          <w:b/>
          <w:bCs/>
        </w:rPr>
        <w:t>Bilag 7</w:t>
      </w:r>
      <w:r>
        <w:t>). Der bliver samlet set ikke nedlagt parkeringsarealer i Dagmarsgade. Vejprofilet dimensioneres til en hastighedsgrænse på 30-40 km/t ligesom den nyligt sanerede del af Dagmarsgade og Valdemarsgade.</w:t>
      </w:r>
    </w:p>
    <w:p w:rsidR="00674FBB" w:rsidRDefault="00674FBB">
      <w:pPr>
        <w:pStyle w:val="NormalWeb"/>
        <w:divId w:val="939601735"/>
      </w:pPr>
      <w:r>
        <w:t> </w:t>
      </w:r>
    </w:p>
    <w:p w:rsidR="00674FBB" w:rsidRDefault="00674FBB">
      <w:pPr>
        <w:pStyle w:val="NormalWeb"/>
        <w:divId w:val="939601735"/>
      </w:pPr>
      <w:r>
        <w:rPr>
          <w:i/>
          <w:iCs/>
        </w:rPr>
        <w:t>Pileborggade</w:t>
      </w:r>
      <w:r>
        <w:rPr>
          <w:i/>
          <w:iCs/>
        </w:rPr>
        <w:br/>
      </w:r>
      <w:r>
        <w:t>Gaden er snæver og har ikke megen trafik. Derfor foreslås det at lave gaden uden kantstensbegrænsning mellem kørende og gående trafik, men med ledelinjer til blinde og svagtseende. I stedet for asfalt som i dag, lægges granitbrosten fra facade til facade. Der bliver samlet set ikke nedlagt parkeringsarealer i Pileborggade. Planerne for Pileborggade har et mindre klart trafiksikkerhedsmæssigt sigte end de andre to gader.</w:t>
      </w:r>
    </w:p>
    <w:p w:rsidR="00674FBB" w:rsidRDefault="00674FBB">
      <w:pPr>
        <w:pStyle w:val="NormalWeb"/>
        <w:divId w:val="939601735"/>
      </w:pPr>
      <w:r>
        <w:t> </w:t>
      </w:r>
    </w:p>
    <w:p w:rsidR="00674FBB" w:rsidRDefault="00674FBB">
      <w:pPr>
        <w:pStyle w:val="NormalWeb"/>
        <w:divId w:val="939601735"/>
      </w:pPr>
      <w:r>
        <w:t>Materialerne i alle tre gader er afstemt i forhold til de øvrige gader i bymidten og i særdeleshed Torveprojektet, så der opnås en genkendelighed i bybilledet.</w:t>
      </w:r>
    </w:p>
    <w:p w:rsidR="00674FBB" w:rsidRDefault="00674FBB">
      <w:pPr>
        <w:pStyle w:val="NormalWeb"/>
        <w:divId w:val="939601735"/>
      </w:pPr>
      <w:r>
        <w:t> </w:t>
      </w:r>
    </w:p>
    <w:p w:rsidR="00674FBB" w:rsidRDefault="00674FBB">
      <w:pPr>
        <w:pStyle w:val="NormalWeb"/>
        <w:divId w:val="939601735"/>
      </w:pPr>
      <w:r>
        <w:rPr>
          <w:i/>
          <w:iCs/>
        </w:rPr>
        <w:t>Tidsplan</w:t>
      </w:r>
    </w:p>
    <w:p w:rsidR="00674FBB" w:rsidRDefault="00674FBB">
      <w:pPr>
        <w:pStyle w:val="NormalWeb"/>
        <w:divId w:val="939601735"/>
      </w:pPr>
      <w:r>
        <w:t>For at give størst synergieffekt lægges der op til, at projekterne udføres samtidigt med Ringsted Forsynings ledningsarbejder. Ringsted Forsynings tidsplan for omlægning af ledninger på nuværende tidspunkt:</w:t>
      </w:r>
    </w:p>
    <w:p w:rsidR="00674FBB" w:rsidRDefault="00674FBB">
      <w:pPr>
        <w:pStyle w:val="NormalWeb"/>
        <w:divId w:val="939601735"/>
      </w:pPr>
      <w:r>
        <w:t> </w:t>
      </w:r>
    </w:p>
    <w:p w:rsidR="00674FBB" w:rsidRDefault="00674FBB" w:rsidP="00674FBB">
      <w:pPr>
        <w:numPr>
          <w:ilvl w:val="0"/>
          <w:numId w:val="11"/>
        </w:numPr>
        <w:spacing w:before="100" w:beforeAutospacing="1" w:after="100" w:afterAutospacing="1"/>
        <w:divId w:val="939601735"/>
      </w:pPr>
      <w:r>
        <w:lastRenderedPageBreak/>
        <w:t>Dagmarsgade (mellem Sct. Knudsgade og Hyldegårdsvej) – 2017</w:t>
      </w:r>
    </w:p>
    <w:p w:rsidR="00674FBB" w:rsidRDefault="00674FBB" w:rsidP="00674FBB">
      <w:pPr>
        <w:numPr>
          <w:ilvl w:val="0"/>
          <w:numId w:val="11"/>
        </w:numPr>
        <w:spacing w:before="100" w:beforeAutospacing="1" w:after="100" w:afterAutospacing="1"/>
        <w:divId w:val="939601735"/>
      </w:pPr>
      <w:r>
        <w:t>Sct. Knudsgade (mellem Dagmarsgade og Sankt Knuds Kirke) – 2017</w:t>
      </w:r>
    </w:p>
    <w:p w:rsidR="00674FBB" w:rsidRDefault="00674FBB" w:rsidP="00674FBB">
      <w:pPr>
        <w:numPr>
          <w:ilvl w:val="0"/>
          <w:numId w:val="11"/>
        </w:numPr>
        <w:spacing w:before="100" w:beforeAutospacing="1" w:after="100" w:afterAutospacing="1"/>
        <w:divId w:val="939601735"/>
      </w:pPr>
      <w:r>
        <w:t>Dagmarsgade (mellem Hyldegårdsvej og Køgevej) – 2018</w:t>
      </w:r>
    </w:p>
    <w:p w:rsidR="00674FBB" w:rsidRDefault="00674FBB" w:rsidP="00674FBB">
      <w:pPr>
        <w:numPr>
          <w:ilvl w:val="0"/>
          <w:numId w:val="11"/>
        </w:numPr>
        <w:spacing w:before="100" w:beforeAutospacing="1" w:after="100" w:afterAutospacing="1"/>
        <w:divId w:val="939601735"/>
      </w:pPr>
      <w:r>
        <w:t>Sct. Knudsgade (mellem Sankt Knuds Kirke og Torvet) – 2018</w:t>
      </w:r>
    </w:p>
    <w:p w:rsidR="00674FBB" w:rsidRDefault="00674FBB" w:rsidP="00674FBB">
      <w:pPr>
        <w:numPr>
          <w:ilvl w:val="0"/>
          <w:numId w:val="11"/>
        </w:numPr>
        <w:spacing w:before="100" w:beforeAutospacing="1" w:after="100" w:afterAutospacing="1"/>
        <w:divId w:val="939601735"/>
      </w:pPr>
      <w:r>
        <w:t>Pileborggade – 2019</w:t>
      </w:r>
    </w:p>
    <w:p w:rsidR="00674FBB" w:rsidRDefault="00674FBB">
      <w:pPr>
        <w:pStyle w:val="NormalWeb"/>
        <w:divId w:val="939601735"/>
        <w:rPr>
          <w:rFonts w:eastAsiaTheme="minorEastAsia"/>
        </w:rPr>
      </w:pPr>
      <w:r>
        <w:t> </w:t>
      </w:r>
    </w:p>
    <w:p w:rsidR="00674FBB" w:rsidRDefault="00674FBB">
      <w:pPr>
        <w:pStyle w:val="NormalWeb"/>
        <w:divId w:val="939601735"/>
      </w:pPr>
      <w:r>
        <w:t>De to førstnævnte strækninger vil derfor være oplagt til trafiksanering i 2017 samtidig med Forsyningens arbejder.</w:t>
      </w:r>
    </w:p>
    <w:p w:rsidR="00674FBB" w:rsidRDefault="00674FBB">
      <w:pPr>
        <w:pStyle w:val="NormalWeb"/>
        <w:divId w:val="939601735"/>
      </w:pPr>
      <w:r>
        <w:t> </w:t>
      </w:r>
    </w:p>
    <w:p w:rsidR="00674FBB" w:rsidRDefault="00674FBB">
      <w:pPr>
        <w:pStyle w:val="NormalWeb"/>
        <w:divId w:val="939601735"/>
      </w:pPr>
      <w:r>
        <w:t>Under hele anlægsperioden forventes der at være en acceptabel trafikafvikling, eventuelt ad alternative nærliggende ruter. Dette skal også ses i forbindelse med Torveprojektet, der også delvis udføres i 2017.</w:t>
      </w:r>
    </w:p>
    <w:p w:rsidR="00674FBB" w:rsidRDefault="00674FBB">
      <w:pPr>
        <w:textAlignment w:val="top"/>
        <w:divId w:val="1739863707"/>
        <w:rPr>
          <w:b/>
          <w:bCs/>
        </w:rPr>
      </w:pPr>
      <w:r>
        <w:rPr>
          <w:b/>
          <w:bCs/>
        </w:rPr>
        <w:t>Inddragelse og høring</w:t>
      </w:r>
    </w:p>
    <w:p w:rsidR="00674FBB" w:rsidRDefault="00674FBB">
      <w:pPr>
        <w:pStyle w:val="NormalWeb"/>
        <w:divId w:val="1340962242"/>
        <w:rPr>
          <w:rFonts w:eastAsiaTheme="minorEastAsia"/>
        </w:rPr>
      </w:pPr>
      <w:r>
        <w:t xml:space="preserve">Trafiksikkerhedsrådet fik forelagt idéen om projektet på mødet i april 2016, hvor kommentarerne omhandlede potentielle udfordringer i anlægsperioden (se referat af mødet i </w:t>
      </w:r>
      <w:r>
        <w:rPr>
          <w:b/>
          <w:bCs/>
        </w:rPr>
        <w:t>Bilag 8</w:t>
      </w:r>
      <w:r>
        <w:t>). Disse kommentarer bliver taget med i anlægsfasen.</w:t>
      </w:r>
    </w:p>
    <w:p w:rsidR="00674FBB" w:rsidRDefault="00674FBB">
      <w:pPr>
        <w:pStyle w:val="NormalWeb"/>
        <w:divId w:val="1340962242"/>
      </w:pPr>
      <w:r>
        <w:t> </w:t>
      </w:r>
    </w:p>
    <w:p w:rsidR="00674FBB" w:rsidRDefault="00674FBB">
      <w:pPr>
        <w:pStyle w:val="NormalWeb"/>
        <w:divId w:val="1340962242"/>
      </w:pPr>
      <w:r>
        <w:t xml:space="preserve">Med baggrund i de tre indkomne skitseprojekter fik rådet forelagt sagen igen på mødet i august 2016. Her blev der udtrykt bekymring for alléen i Sct. Knudsgade, som man helst så bevaret. Visse medlemmer havde fokus på at bevare så mange parkeringspladser som muligt. På den baggrund blev der stillet forslag om at lave dobbeltrettet cykelsti og/eller ensretning af Sct. Knudsgade for at give plads til flere parkeringspladser. Se referat fra mødet i </w:t>
      </w:r>
      <w:r>
        <w:rPr>
          <w:b/>
          <w:bCs/>
        </w:rPr>
        <w:t>Bilag 9</w:t>
      </w:r>
      <w:r>
        <w:t>.</w:t>
      </w:r>
    </w:p>
    <w:p w:rsidR="00674FBB" w:rsidRDefault="00674FBB">
      <w:pPr>
        <w:pStyle w:val="NormalWeb"/>
        <w:divId w:val="1340962242"/>
      </w:pPr>
      <w:r>
        <w:t> </w:t>
      </w:r>
    </w:p>
    <w:p w:rsidR="00674FBB" w:rsidRDefault="00674FBB">
      <w:pPr>
        <w:pStyle w:val="NormalWeb"/>
        <w:divId w:val="1340962242"/>
      </w:pPr>
      <w:r>
        <w:t xml:space="preserve">Alléen på Sct. Knudsgade er i kommuneplanramme 1B10 angivet som bevaringsværdig i sin helhed. Da projektforslaget indebærer, at alléen fældes og genplantes, skal det være muligt for interessenter at komme med kommentarer. Derfor har forslaget været i offentlig høring i to uger. Projektforslaget har også i sin helhed været til orientering hos beboere og lodsejere i de tre gader, hvor man har haft mulighed for at kommentere projektet. Der er indkommet seks kommentarer til projektforslaget. Disse kan ses i </w:t>
      </w:r>
      <w:r>
        <w:rPr>
          <w:b/>
          <w:bCs/>
        </w:rPr>
        <w:t>Bilag 10</w:t>
      </w:r>
      <w:r>
        <w:t xml:space="preserve">. Kommentarerne drejer sig primært om parkeringspladser, lige som der både er positive og negative holdninger til genplantning af alléen i Sct. Knudsgade. </w:t>
      </w:r>
    </w:p>
    <w:p w:rsidR="00674FBB" w:rsidRDefault="00674FBB">
      <w:pPr>
        <w:textAlignment w:val="top"/>
        <w:divId w:val="1739863707"/>
        <w:rPr>
          <w:b/>
          <w:bCs/>
        </w:rPr>
      </w:pPr>
      <w:r>
        <w:rPr>
          <w:b/>
          <w:bCs/>
        </w:rPr>
        <w:t>Økonomi</w:t>
      </w:r>
    </w:p>
    <w:p w:rsidR="00674FBB" w:rsidRDefault="00674FBB">
      <w:pPr>
        <w:pStyle w:val="NormalWeb"/>
        <w:divId w:val="1441797378"/>
        <w:rPr>
          <w:rFonts w:eastAsiaTheme="minorEastAsia"/>
        </w:rPr>
      </w:pPr>
      <w:r>
        <w:t>Der søges en anlægsbevilling til udgifter på i alt 872.244 kr. til ”Helhedsplan for Sct. Knudsgade, Dagmarsgade og Pileborggade” til detailprojektering og udbudsproces af Dagmarsgade mellem Sct. Knudsgade og Hyldegårdsvej, herunder 100.000 kr. til internt honorar, svarende til 250 timer.</w:t>
      </w:r>
    </w:p>
    <w:p w:rsidR="00674FBB" w:rsidRDefault="00674FBB">
      <w:pPr>
        <w:pStyle w:val="NormalWeb"/>
        <w:divId w:val="1441797378"/>
      </w:pPr>
      <w:r>
        <w:t> </w:t>
      </w:r>
    </w:p>
    <w:p w:rsidR="00674FBB" w:rsidRDefault="00674FBB">
      <w:pPr>
        <w:pStyle w:val="NormalWeb"/>
        <w:divId w:val="1441797378"/>
      </w:pPr>
      <w:r>
        <w:t>Der er ikke afsat rådighedsbeløb til ”Helhedsplan for Sct. Knudsgade, Dagmarsgade og Pileborggade” i budgettet. Anlægsbevillingen foreslås i stedet finansieret ved at overføre et uforbrugt og udisponeret rådighedsbeløb på henholdsvis</w:t>
      </w:r>
    </w:p>
    <w:p w:rsidR="00674FBB" w:rsidRDefault="00674FBB">
      <w:pPr>
        <w:pStyle w:val="NormalWeb"/>
        <w:divId w:val="1441797378"/>
      </w:pPr>
      <w:r>
        <w:t> </w:t>
      </w:r>
    </w:p>
    <w:p w:rsidR="00674FBB" w:rsidRDefault="00674FBB" w:rsidP="00674FBB">
      <w:pPr>
        <w:numPr>
          <w:ilvl w:val="0"/>
          <w:numId w:val="12"/>
        </w:numPr>
        <w:spacing w:before="100" w:beforeAutospacing="1" w:after="100" w:afterAutospacing="1"/>
        <w:divId w:val="1441797378"/>
      </w:pPr>
      <w:r>
        <w:t>472.244 kr. fra ”Trafiksikkerhedsforanstaltninger” (bevillingsprogram 2, herefter 0 kr. tilbage af rådighedsbeløbet)</w:t>
      </w:r>
    </w:p>
    <w:p w:rsidR="00674FBB" w:rsidRDefault="00674FBB" w:rsidP="00674FBB">
      <w:pPr>
        <w:numPr>
          <w:ilvl w:val="0"/>
          <w:numId w:val="12"/>
        </w:numPr>
        <w:spacing w:before="100" w:beforeAutospacing="1" w:after="100" w:afterAutospacing="1"/>
        <w:divId w:val="1441797378"/>
      </w:pPr>
      <w:r>
        <w:lastRenderedPageBreak/>
        <w:t>400.000 kr. fra ”Trafiksikkerhed” (bevillingsprogram 112, herefter 700.000 kr. tilbage af rådighedsbeløbet)</w:t>
      </w:r>
    </w:p>
    <w:p w:rsidR="00674FBB" w:rsidRDefault="00674FBB">
      <w:pPr>
        <w:textAlignment w:val="top"/>
        <w:divId w:val="1739863707"/>
        <w:rPr>
          <w:b/>
          <w:bCs/>
        </w:rPr>
      </w:pPr>
      <w:r>
        <w:rPr>
          <w:b/>
          <w:bCs/>
        </w:rPr>
        <w:t>Vurdering</w:t>
      </w:r>
    </w:p>
    <w:p w:rsidR="00674FBB" w:rsidRDefault="00674FBB">
      <w:pPr>
        <w:pStyle w:val="NormalWeb"/>
        <w:divId w:val="191040870"/>
        <w:rPr>
          <w:rFonts w:eastAsiaTheme="minorEastAsia"/>
        </w:rPr>
      </w:pPr>
      <w:r>
        <w:rPr>
          <w:i/>
          <w:iCs/>
        </w:rPr>
        <w:t>Sct. Knudsgade</w:t>
      </w:r>
      <w:r>
        <w:br/>
        <w:t>Administrationen vurderer, at alléen i dag er præget af større huller i trærækken, og flere træer vurderes at være i dårlig tilstand. Ved at genplante på en ny placering med bedre vækstforhold kan man sikre en sundere allé og på sigt et bedre helhedsindtryk i gaden. Ændring af den nuværende skråparkering til længdeparkering vurderes også at være afgørende i forhold til at hæve trafiksikkerheden på strækningen. På den baggrund vurderes den samlede nedgang på 9 parkeringsmuligheder i Sct. Knudsgade at være acceptabel. Dette skal også ses i lyset af den nærliggende offentlige parkeringsplads på Schandorphsvej.</w:t>
      </w:r>
    </w:p>
    <w:p w:rsidR="00674FBB" w:rsidRDefault="00674FBB">
      <w:pPr>
        <w:pStyle w:val="NormalWeb"/>
        <w:divId w:val="191040870"/>
      </w:pPr>
      <w:r>
        <w:t xml:space="preserve">Alternativet, hvis man vælger at bevare de eksisterende træer og skråparkeringen, vil betyde en reduceret trafiksikkerhed. Ønskes en sanering af Sct. Knudsgade fra Sankt Knuds Kirke og frem til Torvet, vurderes det på nuværende tidspunkt, at kræve afsætning af yderligere midler ud over den løbende årlige pulje til trafiksikkerhed. </w:t>
      </w:r>
    </w:p>
    <w:p w:rsidR="00674FBB" w:rsidRDefault="00674FBB">
      <w:pPr>
        <w:pStyle w:val="NormalWeb"/>
        <w:divId w:val="191040870"/>
      </w:pPr>
      <w:r>
        <w:t> </w:t>
      </w:r>
    </w:p>
    <w:p w:rsidR="00674FBB" w:rsidRDefault="00674FBB">
      <w:pPr>
        <w:pStyle w:val="NormalWeb"/>
        <w:divId w:val="191040870"/>
      </w:pPr>
      <w:r>
        <w:rPr>
          <w:i/>
          <w:iCs/>
        </w:rPr>
        <w:t>Dagmarsgade</w:t>
      </w:r>
      <w:r>
        <w:rPr>
          <w:i/>
          <w:iCs/>
        </w:rPr>
        <w:br/>
      </w:r>
      <w:r>
        <w:t>Administrationen vurderer, at projektforslaget er i overensstemmelse med Lokalplan 33 i forhold til grønnere byrum og nedsættelse af hastigheden. Fjernelse af indsnævringen mellem Schandorphsvej og Anlægsvej vurderes at hæve både sikkerhed og fremkommelighed mærkbart.</w:t>
      </w:r>
    </w:p>
    <w:p w:rsidR="00674FBB" w:rsidRDefault="00674FBB">
      <w:pPr>
        <w:pStyle w:val="NormalWeb"/>
        <w:divId w:val="191040870"/>
      </w:pPr>
      <w:r>
        <w:t> </w:t>
      </w:r>
    </w:p>
    <w:p w:rsidR="00674FBB" w:rsidRDefault="00674FBB">
      <w:pPr>
        <w:pStyle w:val="NormalWeb"/>
        <w:divId w:val="191040870"/>
      </w:pPr>
      <w:r>
        <w:rPr>
          <w:i/>
          <w:iCs/>
        </w:rPr>
        <w:t>Pileborggade</w:t>
      </w:r>
      <w:r>
        <w:rPr>
          <w:i/>
          <w:iCs/>
        </w:rPr>
        <w:br/>
      </w:r>
      <w:r>
        <w:t>Administrationen vurderer, at forslaget til ombygning af Pileborggade vil understøtte gadens karakter og den bevaringsværdige bebyggelse. Det vurderes også, at kvaliteten af gaderummet vil blive hævet væsentligt og dermed gøre området mere attraktivt. Sanering af Pileborggade vurderes ikke at have væsentlig trafiksikkerhedsmæssig karakter og kan derfor fravælges eller finansieres ad anden vej senere i processen.</w:t>
      </w:r>
    </w:p>
    <w:p w:rsidR="00674FBB" w:rsidRDefault="00674FBB">
      <w:pPr>
        <w:pStyle w:val="NormalWeb"/>
        <w:divId w:val="191040870"/>
      </w:pPr>
      <w:r>
        <w:t> </w:t>
      </w:r>
    </w:p>
    <w:p w:rsidR="00674FBB" w:rsidRDefault="00674FBB">
      <w:pPr>
        <w:pStyle w:val="NormalWeb"/>
        <w:divId w:val="191040870"/>
      </w:pPr>
      <w:r>
        <w:t>Administrationen vurderer endvidere, at der er et meget stort potentiale i at hæve trafiksikkerheden og kvaliteten af byrummene i Dagmarsgade, Sct. Knudsgade og Pileborggade, så de bliver mere attraktive som boligområder og som trygge færdselsårer for bløde trafikanter. Projektet vurderes samlet at være en balanceret løsning i forhold til sikkerhed, tryghed og fremkommelighed i de tre gader.</w:t>
      </w:r>
    </w:p>
    <w:p w:rsidR="00674FBB" w:rsidRDefault="00674FBB">
      <w:pPr>
        <w:pStyle w:val="NormalWeb"/>
        <w:divId w:val="191040870"/>
      </w:pPr>
      <w:r>
        <w:t> </w:t>
      </w:r>
    </w:p>
    <w:p w:rsidR="00674FBB" w:rsidRDefault="00674FBB">
      <w:pPr>
        <w:pStyle w:val="NormalWeb"/>
        <w:divId w:val="191040870"/>
      </w:pPr>
      <w:r>
        <w:t>Det vurderes samtidig, at projektet ligger i direkte forlængelse af Byrådets Trafikpolitik (2015). Samtidig er initiativet i god overensstemmelse med Kommunikations- og Borgerinddragelsespolitikken med inddragelse af Trafiksikkerhedsrådet og med mulighed for de lokale beboere og grundejeres mulighed for at kommentere projektet.</w:t>
      </w:r>
    </w:p>
    <w:p w:rsidR="00674FBB" w:rsidRDefault="00674FBB">
      <w:pPr>
        <w:pStyle w:val="NormalWeb"/>
        <w:divId w:val="191040870"/>
      </w:pPr>
      <w:r>
        <w:t> </w:t>
      </w:r>
    </w:p>
    <w:p w:rsidR="00674FBB" w:rsidRDefault="00674FBB">
      <w:pPr>
        <w:pStyle w:val="NormalWeb"/>
        <w:divId w:val="191040870"/>
      </w:pPr>
      <w:r>
        <w:lastRenderedPageBreak/>
        <w:t>Administrationen vurderer endeligt, at man med projektet kan udvise rettidig omhu, da de forskellige etaper kan udføres i samarbejde med Ringsted Forsyning, hvorved der opnås store synergieffekter.</w:t>
      </w:r>
    </w:p>
    <w:p w:rsidR="00674FBB" w:rsidRDefault="00674FBB">
      <w:pPr>
        <w:textAlignment w:val="top"/>
        <w:divId w:val="1739863707"/>
        <w:rPr>
          <w:b/>
          <w:bCs/>
        </w:rPr>
      </w:pPr>
      <w:r>
        <w:rPr>
          <w:b/>
          <w:bCs/>
        </w:rPr>
        <w:t>Indstilling</w:t>
      </w:r>
    </w:p>
    <w:p w:rsidR="00674FBB" w:rsidRDefault="00674FBB">
      <w:pPr>
        <w:pStyle w:val="NormalWeb"/>
        <w:divId w:val="921377872"/>
        <w:rPr>
          <w:rFonts w:eastAsiaTheme="minorEastAsia"/>
        </w:rPr>
      </w:pPr>
      <w:r>
        <w:rPr>
          <w:b/>
          <w:bCs/>
        </w:rPr>
        <w:t>Direktionen indstiller,</w:t>
      </w:r>
    </w:p>
    <w:p w:rsidR="00674FBB" w:rsidRDefault="00674FBB">
      <w:pPr>
        <w:pStyle w:val="NormalWeb"/>
        <w:divId w:val="921377872"/>
      </w:pPr>
      <w:r>
        <w:t> </w:t>
      </w:r>
    </w:p>
    <w:p w:rsidR="00674FBB" w:rsidRDefault="00674FBB" w:rsidP="00674FBB">
      <w:pPr>
        <w:numPr>
          <w:ilvl w:val="0"/>
          <w:numId w:val="13"/>
        </w:numPr>
        <w:spacing w:before="100" w:beforeAutospacing="1" w:after="100" w:afterAutospacing="1"/>
        <w:divId w:val="921377872"/>
      </w:pPr>
      <w:r>
        <w:t>at Helhedsplan for Sct. Knudsgade, Dagmarsgade og Pileborggade godkendes,</w:t>
      </w:r>
    </w:p>
    <w:p w:rsidR="00674FBB" w:rsidRDefault="00674FBB" w:rsidP="00674FBB">
      <w:pPr>
        <w:numPr>
          <w:ilvl w:val="0"/>
          <w:numId w:val="13"/>
        </w:numPr>
        <w:spacing w:before="100" w:beforeAutospacing="1" w:after="100" w:afterAutospacing="1"/>
        <w:divId w:val="921377872"/>
      </w:pPr>
      <w:r>
        <w:t>at der gives en anlægsbevilling til udgifter på 872.244 kr. i 2016 til detailprojektering af alle tre gader og udbudsproces af Dagmarsgade,</w:t>
      </w:r>
    </w:p>
    <w:p w:rsidR="00674FBB" w:rsidRDefault="00674FBB" w:rsidP="00674FBB">
      <w:pPr>
        <w:numPr>
          <w:ilvl w:val="0"/>
          <w:numId w:val="13"/>
        </w:numPr>
        <w:spacing w:before="100" w:beforeAutospacing="1" w:after="100" w:afterAutospacing="1"/>
        <w:divId w:val="921377872"/>
      </w:pPr>
      <w:r>
        <w:t>at anlægsbevillingen finansieres delvis ved at overføre uforbrugt rådighedsbeløb på 472.244 kr. fra anlægsprojektet ”Trafiksikkerhedsforanstaltninger” til anlægsprojektet ”Helhedsplan for Sct. Knudsgade, Dagmarsgade og Pileborggade”</w:t>
      </w:r>
    </w:p>
    <w:p w:rsidR="00674FBB" w:rsidRDefault="00674FBB" w:rsidP="00674FBB">
      <w:pPr>
        <w:numPr>
          <w:ilvl w:val="0"/>
          <w:numId w:val="13"/>
        </w:numPr>
        <w:spacing w:before="100" w:beforeAutospacing="1" w:after="100" w:afterAutospacing="1"/>
        <w:divId w:val="921377872"/>
      </w:pPr>
      <w:r>
        <w:t>at anlægsbevillingen finansieres delvis ved at overføre uforbrugt rådighedsbeløb på 400.000 kr. fra anlægsprojektet ”Trafiksikkerhed” til anlægsprojektet ”Helhedsplan for Sct. Knudsgade, Dagmarsgade og Pileborggade”.</w:t>
      </w:r>
    </w:p>
    <w:p w:rsidR="00674FBB" w:rsidRDefault="00674FBB">
      <w:pPr>
        <w:textAlignment w:val="top"/>
        <w:divId w:val="1739863707"/>
        <w:rPr>
          <w:b/>
          <w:bCs/>
        </w:rPr>
      </w:pPr>
      <w:r>
        <w:rPr>
          <w:b/>
          <w:bCs/>
        </w:rPr>
        <w:t>Beslutning i Klima- og Miljøudvalget den 27-10-2016</w:t>
      </w:r>
    </w:p>
    <w:p w:rsidR="00674FBB" w:rsidRDefault="00674FBB">
      <w:pPr>
        <w:pStyle w:val="NormalWeb"/>
        <w:divId w:val="1529025069"/>
        <w:rPr>
          <w:rFonts w:eastAsiaTheme="minorEastAsia"/>
        </w:rPr>
      </w:pPr>
      <w:r>
        <w:t xml:space="preserve">V, O og F stillede forslag om, at detailprojektering for Pileborggade ikke skal igangsættes. </w:t>
      </w:r>
    </w:p>
    <w:p w:rsidR="00674FBB" w:rsidRDefault="00674FBB">
      <w:pPr>
        <w:pStyle w:val="NormalWeb"/>
        <w:divId w:val="1529025069"/>
      </w:pPr>
      <w:r>
        <w:t> </w:t>
      </w:r>
    </w:p>
    <w:tbl>
      <w:tblPr>
        <w:tblW w:w="4500" w:type="pct"/>
        <w:tblCellMar>
          <w:left w:w="0" w:type="dxa"/>
          <w:right w:w="0" w:type="dxa"/>
        </w:tblCellMar>
        <w:tblLook w:val="04A0" w:firstRow="1" w:lastRow="0" w:firstColumn="1" w:lastColumn="0" w:noHBand="0" w:noVBand="1"/>
      </w:tblPr>
      <w:tblGrid>
        <w:gridCol w:w="799"/>
        <w:gridCol w:w="855"/>
        <w:gridCol w:w="1071"/>
        <w:gridCol w:w="1173"/>
        <w:gridCol w:w="1339"/>
        <w:gridCol w:w="959"/>
        <w:gridCol w:w="880"/>
        <w:gridCol w:w="1051"/>
      </w:tblGrid>
      <w:tr w:rsidR="00674FBB">
        <w:trPr>
          <w:divId w:val="1293638768"/>
        </w:trPr>
        <w:tc>
          <w:tcPr>
            <w:tcW w:w="0" w:type="auto"/>
            <w:tcBorders>
              <w:top w:val="outset" w:sz="8" w:space="0" w:color="111111"/>
              <w:left w:val="outset" w:sz="8" w:space="0" w:color="111111"/>
              <w:bottom w:val="outset" w:sz="8" w:space="0" w:color="111111"/>
              <w:right w:val="outset" w:sz="8" w:space="0" w:color="111111"/>
            </w:tcBorders>
            <w:tcMar>
              <w:top w:w="15" w:type="dxa"/>
              <w:left w:w="15" w:type="dxa"/>
              <w:bottom w:w="15" w:type="dxa"/>
              <w:right w:w="15" w:type="dxa"/>
            </w:tcMar>
            <w:vAlign w:val="center"/>
            <w:hideMark/>
          </w:tcPr>
          <w:p w:rsidR="00674FBB" w:rsidRDefault="00674FBB">
            <w:pPr>
              <w:pStyle w:val="NormalWeb"/>
              <w:jc w:val="center"/>
              <w:rPr>
                <w:rFonts w:eastAsiaTheme="minorEastAsia"/>
              </w:rPr>
            </w:pPr>
            <w:r>
              <w:t xml:space="preserve">  </w:t>
            </w:r>
          </w:p>
        </w:tc>
        <w:tc>
          <w:tcPr>
            <w:tcW w:w="0" w:type="auto"/>
            <w:tcBorders>
              <w:top w:val="outset" w:sz="8" w:space="0" w:color="111111"/>
              <w:left w:val="nil"/>
              <w:bottom w:val="outset" w:sz="8" w:space="0" w:color="111111"/>
              <w:right w:val="outset" w:sz="8" w:space="0" w:color="111111"/>
            </w:tcBorders>
            <w:tcMar>
              <w:top w:w="15" w:type="dxa"/>
              <w:left w:w="15" w:type="dxa"/>
              <w:bottom w:w="15" w:type="dxa"/>
              <w:right w:w="15" w:type="dxa"/>
            </w:tcMar>
            <w:vAlign w:val="center"/>
            <w:hideMark/>
          </w:tcPr>
          <w:p w:rsidR="00674FBB" w:rsidRDefault="00674FBB">
            <w:pPr>
              <w:pStyle w:val="NormalWeb"/>
              <w:jc w:val="center"/>
              <w:rPr>
                <w:rFonts w:eastAsiaTheme="minorEastAsia"/>
              </w:rPr>
            </w:pPr>
            <w:r>
              <w:t>V</w:t>
            </w:r>
            <w:r>
              <w:br/>
              <w:t>Klaus Hansen (hjkh) V</w:t>
            </w:r>
          </w:p>
        </w:tc>
        <w:tc>
          <w:tcPr>
            <w:tcW w:w="0" w:type="auto"/>
            <w:tcBorders>
              <w:top w:val="outset" w:sz="8" w:space="0" w:color="111111"/>
              <w:left w:val="nil"/>
              <w:bottom w:val="outset" w:sz="8" w:space="0" w:color="111111"/>
              <w:right w:val="outset" w:sz="8" w:space="0" w:color="111111"/>
            </w:tcBorders>
            <w:tcMar>
              <w:top w:w="15" w:type="dxa"/>
              <w:left w:w="15" w:type="dxa"/>
              <w:bottom w:w="15" w:type="dxa"/>
              <w:right w:w="15" w:type="dxa"/>
            </w:tcMar>
            <w:vAlign w:val="center"/>
            <w:hideMark/>
          </w:tcPr>
          <w:p w:rsidR="00674FBB" w:rsidRDefault="00674FBB">
            <w:pPr>
              <w:pStyle w:val="NormalWeb"/>
              <w:jc w:val="center"/>
              <w:rPr>
                <w:rFonts w:eastAsiaTheme="minorEastAsia"/>
              </w:rPr>
            </w:pPr>
            <w:r>
              <w:t>C</w:t>
            </w:r>
            <w:r>
              <w:br/>
              <w:t>Finn Andersen (hjfian) C</w:t>
            </w:r>
          </w:p>
        </w:tc>
        <w:tc>
          <w:tcPr>
            <w:tcW w:w="0" w:type="auto"/>
            <w:tcBorders>
              <w:top w:val="outset" w:sz="8" w:space="0" w:color="111111"/>
              <w:left w:val="nil"/>
              <w:bottom w:val="outset" w:sz="8" w:space="0" w:color="111111"/>
              <w:right w:val="outset" w:sz="8" w:space="0" w:color="111111"/>
            </w:tcBorders>
            <w:tcMar>
              <w:top w:w="15" w:type="dxa"/>
              <w:left w:w="15" w:type="dxa"/>
              <w:bottom w:w="15" w:type="dxa"/>
              <w:right w:w="15" w:type="dxa"/>
            </w:tcMar>
            <w:vAlign w:val="center"/>
            <w:hideMark/>
          </w:tcPr>
          <w:p w:rsidR="00674FBB" w:rsidRDefault="00674FBB">
            <w:pPr>
              <w:pStyle w:val="NormalWeb"/>
              <w:jc w:val="center"/>
              <w:rPr>
                <w:rFonts w:eastAsiaTheme="minorEastAsia"/>
              </w:rPr>
            </w:pPr>
            <w:r>
              <w:t>V</w:t>
            </w:r>
            <w:r>
              <w:br/>
              <w:t>Johnny Brown Lundberg Dahlgaard (hjjoda) V</w:t>
            </w:r>
          </w:p>
        </w:tc>
        <w:tc>
          <w:tcPr>
            <w:tcW w:w="0" w:type="auto"/>
            <w:tcBorders>
              <w:top w:val="outset" w:sz="8" w:space="0" w:color="111111"/>
              <w:left w:val="nil"/>
              <w:bottom w:val="outset" w:sz="8" w:space="0" w:color="111111"/>
              <w:right w:val="outset" w:sz="8" w:space="0" w:color="111111"/>
            </w:tcBorders>
            <w:tcMar>
              <w:top w:w="15" w:type="dxa"/>
              <w:left w:w="15" w:type="dxa"/>
              <w:bottom w:w="15" w:type="dxa"/>
              <w:right w:w="15" w:type="dxa"/>
            </w:tcMar>
            <w:vAlign w:val="center"/>
            <w:hideMark/>
          </w:tcPr>
          <w:p w:rsidR="00674FBB" w:rsidRDefault="00674FBB">
            <w:pPr>
              <w:pStyle w:val="NormalWeb"/>
              <w:jc w:val="center"/>
              <w:rPr>
                <w:rFonts w:eastAsiaTheme="minorEastAsia"/>
              </w:rPr>
            </w:pPr>
            <w:r>
              <w:t>A</w:t>
            </w:r>
            <w:r>
              <w:br/>
              <w:t>Benny Christensen (bsbech) A</w:t>
            </w:r>
          </w:p>
        </w:tc>
        <w:tc>
          <w:tcPr>
            <w:tcW w:w="0" w:type="auto"/>
            <w:tcBorders>
              <w:top w:val="outset" w:sz="8" w:space="0" w:color="111111"/>
              <w:left w:val="nil"/>
              <w:bottom w:val="outset" w:sz="8" w:space="0" w:color="111111"/>
              <w:right w:val="outset" w:sz="8" w:space="0" w:color="111111"/>
            </w:tcBorders>
            <w:tcMar>
              <w:top w:w="15" w:type="dxa"/>
              <w:left w:w="15" w:type="dxa"/>
              <w:bottom w:w="15" w:type="dxa"/>
              <w:right w:w="15" w:type="dxa"/>
            </w:tcMar>
            <w:vAlign w:val="center"/>
            <w:hideMark/>
          </w:tcPr>
          <w:p w:rsidR="00674FBB" w:rsidRDefault="00674FBB">
            <w:pPr>
              <w:pStyle w:val="NormalWeb"/>
              <w:jc w:val="center"/>
              <w:rPr>
                <w:rFonts w:eastAsiaTheme="minorEastAsia"/>
              </w:rPr>
            </w:pPr>
            <w:r>
              <w:t>O</w:t>
            </w:r>
            <w:r>
              <w:br/>
              <w:t>Per Nørhave (hjpen) O</w:t>
            </w:r>
          </w:p>
        </w:tc>
        <w:tc>
          <w:tcPr>
            <w:tcW w:w="0" w:type="auto"/>
            <w:tcBorders>
              <w:top w:val="outset" w:sz="8" w:space="0" w:color="111111"/>
              <w:left w:val="nil"/>
              <w:bottom w:val="outset" w:sz="8" w:space="0" w:color="111111"/>
              <w:right w:val="outset" w:sz="8" w:space="0" w:color="111111"/>
            </w:tcBorders>
            <w:tcMar>
              <w:top w:w="15" w:type="dxa"/>
              <w:left w:w="15" w:type="dxa"/>
              <w:bottom w:w="15" w:type="dxa"/>
              <w:right w:w="15" w:type="dxa"/>
            </w:tcMar>
            <w:vAlign w:val="center"/>
            <w:hideMark/>
          </w:tcPr>
          <w:p w:rsidR="00674FBB" w:rsidRDefault="00674FBB">
            <w:pPr>
              <w:pStyle w:val="NormalWeb"/>
              <w:jc w:val="center"/>
              <w:rPr>
                <w:rFonts w:eastAsiaTheme="minorEastAsia"/>
              </w:rPr>
            </w:pPr>
            <w:r>
              <w:t>F</w:t>
            </w:r>
            <w:r>
              <w:br/>
              <w:t>Britta Nielsen (hjbrni) F</w:t>
            </w:r>
          </w:p>
        </w:tc>
        <w:tc>
          <w:tcPr>
            <w:tcW w:w="0" w:type="auto"/>
            <w:tcBorders>
              <w:top w:val="outset" w:sz="8" w:space="0" w:color="111111"/>
              <w:left w:val="nil"/>
              <w:bottom w:val="outset" w:sz="8" w:space="0" w:color="111111"/>
              <w:right w:val="outset" w:sz="8" w:space="0" w:color="111111"/>
            </w:tcBorders>
            <w:tcMar>
              <w:top w:w="15" w:type="dxa"/>
              <w:left w:w="15" w:type="dxa"/>
              <w:bottom w:w="15" w:type="dxa"/>
              <w:right w:w="15" w:type="dxa"/>
            </w:tcMar>
            <w:vAlign w:val="center"/>
            <w:hideMark/>
          </w:tcPr>
          <w:p w:rsidR="00674FBB" w:rsidRDefault="00674FBB">
            <w:pPr>
              <w:pStyle w:val="NormalWeb"/>
              <w:jc w:val="center"/>
              <w:rPr>
                <w:rFonts w:eastAsiaTheme="minorEastAsia"/>
              </w:rPr>
            </w:pPr>
            <w:r>
              <w:t>Ø</w:t>
            </w:r>
            <w:r>
              <w:br/>
              <w:t>Jan Jakobsen (jja) Ø</w:t>
            </w:r>
          </w:p>
        </w:tc>
      </w:tr>
      <w:tr w:rsidR="00674FBB">
        <w:trPr>
          <w:divId w:val="1293638768"/>
        </w:trPr>
        <w:tc>
          <w:tcPr>
            <w:tcW w:w="0" w:type="auto"/>
            <w:tcBorders>
              <w:top w:val="nil"/>
              <w:left w:val="outset" w:sz="8" w:space="0" w:color="111111"/>
              <w:bottom w:val="outset" w:sz="8" w:space="0" w:color="111111"/>
              <w:right w:val="outset" w:sz="8" w:space="0" w:color="111111"/>
            </w:tcBorders>
            <w:tcMar>
              <w:top w:w="15" w:type="dxa"/>
              <w:left w:w="15" w:type="dxa"/>
              <w:bottom w:w="15" w:type="dxa"/>
              <w:right w:w="15" w:type="dxa"/>
            </w:tcMar>
            <w:vAlign w:val="center"/>
            <w:hideMark/>
          </w:tcPr>
          <w:p w:rsidR="00674FBB" w:rsidRDefault="00674FBB">
            <w:pPr>
              <w:pStyle w:val="NormalWeb"/>
              <w:jc w:val="center"/>
              <w:rPr>
                <w:rFonts w:eastAsiaTheme="minorEastAsia"/>
              </w:rPr>
            </w:pPr>
            <w:r>
              <w:t>For</w:t>
            </w:r>
          </w:p>
        </w:tc>
        <w:tc>
          <w:tcPr>
            <w:tcW w:w="0" w:type="auto"/>
            <w:tcBorders>
              <w:top w:val="nil"/>
              <w:left w:val="nil"/>
              <w:bottom w:val="outset" w:sz="8" w:space="0" w:color="111111"/>
              <w:right w:val="outset" w:sz="8" w:space="0" w:color="111111"/>
            </w:tcBorders>
            <w:tcMar>
              <w:top w:w="15" w:type="dxa"/>
              <w:left w:w="15" w:type="dxa"/>
              <w:bottom w:w="15" w:type="dxa"/>
              <w:right w:w="15" w:type="dxa"/>
            </w:tcMar>
            <w:vAlign w:val="center"/>
            <w:hideMark/>
          </w:tcPr>
          <w:p w:rsidR="00674FBB" w:rsidRDefault="00674FBB">
            <w:pPr>
              <w:pStyle w:val="NormalWeb"/>
              <w:jc w:val="center"/>
              <w:rPr>
                <w:rFonts w:eastAsiaTheme="minorEastAsia"/>
              </w:rPr>
            </w:pPr>
            <w:r>
              <w:t> X</w:t>
            </w:r>
          </w:p>
        </w:tc>
        <w:tc>
          <w:tcPr>
            <w:tcW w:w="0" w:type="auto"/>
            <w:tcBorders>
              <w:top w:val="nil"/>
              <w:left w:val="nil"/>
              <w:bottom w:val="outset" w:sz="8" w:space="0" w:color="111111"/>
              <w:right w:val="outset" w:sz="8" w:space="0" w:color="111111"/>
            </w:tcBorders>
            <w:tcMar>
              <w:top w:w="15" w:type="dxa"/>
              <w:left w:w="15" w:type="dxa"/>
              <w:bottom w:w="15" w:type="dxa"/>
              <w:right w:w="15" w:type="dxa"/>
            </w:tcMar>
            <w:vAlign w:val="center"/>
            <w:hideMark/>
          </w:tcPr>
          <w:p w:rsidR="00674FBB" w:rsidRDefault="00674FBB">
            <w:pPr>
              <w:pStyle w:val="NormalWeb"/>
              <w:jc w:val="center"/>
              <w:rPr>
                <w:rFonts w:eastAsiaTheme="minorEastAsia"/>
              </w:rPr>
            </w:pPr>
            <w:r>
              <w:t> </w:t>
            </w:r>
          </w:p>
        </w:tc>
        <w:tc>
          <w:tcPr>
            <w:tcW w:w="0" w:type="auto"/>
            <w:vMerge w:val="restart"/>
            <w:tcBorders>
              <w:top w:val="nil"/>
              <w:left w:val="nil"/>
              <w:bottom w:val="outset" w:sz="8" w:space="0" w:color="111111"/>
              <w:right w:val="outset" w:sz="8" w:space="0" w:color="111111"/>
            </w:tcBorders>
            <w:tcMar>
              <w:top w:w="15" w:type="dxa"/>
              <w:left w:w="15" w:type="dxa"/>
              <w:bottom w:w="15" w:type="dxa"/>
              <w:right w:w="15" w:type="dxa"/>
            </w:tcMar>
            <w:vAlign w:val="center"/>
            <w:hideMark/>
          </w:tcPr>
          <w:p w:rsidR="00674FBB" w:rsidRDefault="00674FBB">
            <w:pPr>
              <w:pStyle w:val="NormalWeb"/>
              <w:jc w:val="center"/>
              <w:rPr>
                <w:rFonts w:eastAsiaTheme="minorEastAsia"/>
              </w:rPr>
            </w:pPr>
            <w:r>
              <w:t>Ej til stede</w:t>
            </w:r>
          </w:p>
        </w:tc>
        <w:tc>
          <w:tcPr>
            <w:tcW w:w="0" w:type="auto"/>
            <w:tcBorders>
              <w:top w:val="nil"/>
              <w:left w:val="nil"/>
              <w:bottom w:val="outset" w:sz="8" w:space="0" w:color="111111"/>
              <w:right w:val="outset" w:sz="8" w:space="0" w:color="111111"/>
            </w:tcBorders>
            <w:tcMar>
              <w:top w:w="15" w:type="dxa"/>
              <w:left w:w="15" w:type="dxa"/>
              <w:bottom w:w="15" w:type="dxa"/>
              <w:right w:w="15" w:type="dxa"/>
            </w:tcMar>
            <w:vAlign w:val="center"/>
            <w:hideMark/>
          </w:tcPr>
          <w:p w:rsidR="00674FBB" w:rsidRDefault="00674FBB">
            <w:pPr>
              <w:pStyle w:val="NormalWeb"/>
              <w:jc w:val="center"/>
              <w:rPr>
                <w:rFonts w:eastAsiaTheme="minorEastAsia"/>
              </w:rPr>
            </w:pPr>
            <w:r>
              <w:t> </w:t>
            </w:r>
          </w:p>
        </w:tc>
        <w:tc>
          <w:tcPr>
            <w:tcW w:w="0" w:type="auto"/>
            <w:tcBorders>
              <w:top w:val="nil"/>
              <w:left w:val="nil"/>
              <w:bottom w:val="outset" w:sz="8" w:space="0" w:color="111111"/>
              <w:right w:val="outset" w:sz="8" w:space="0" w:color="111111"/>
            </w:tcBorders>
            <w:tcMar>
              <w:top w:w="15" w:type="dxa"/>
              <w:left w:w="15" w:type="dxa"/>
              <w:bottom w:w="15" w:type="dxa"/>
              <w:right w:w="15" w:type="dxa"/>
            </w:tcMar>
            <w:vAlign w:val="center"/>
            <w:hideMark/>
          </w:tcPr>
          <w:p w:rsidR="00674FBB" w:rsidRDefault="00674FBB">
            <w:pPr>
              <w:pStyle w:val="NormalWeb"/>
              <w:jc w:val="center"/>
              <w:rPr>
                <w:rFonts w:eastAsiaTheme="minorEastAsia"/>
              </w:rPr>
            </w:pPr>
            <w:r>
              <w:t>X </w:t>
            </w:r>
          </w:p>
        </w:tc>
        <w:tc>
          <w:tcPr>
            <w:tcW w:w="0" w:type="auto"/>
            <w:tcBorders>
              <w:top w:val="nil"/>
              <w:left w:val="nil"/>
              <w:bottom w:val="outset" w:sz="8" w:space="0" w:color="111111"/>
              <w:right w:val="outset" w:sz="8" w:space="0" w:color="111111"/>
            </w:tcBorders>
            <w:tcMar>
              <w:top w:w="15" w:type="dxa"/>
              <w:left w:w="15" w:type="dxa"/>
              <w:bottom w:w="15" w:type="dxa"/>
              <w:right w:w="15" w:type="dxa"/>
            </w:tcMar>
            <w:vAlign w:val="center"/>
            <w:hideMark/>
          </w:tcPr>
          <w:p w:rsidR="00674FBB" w:rsidRDefault="00674FBB">
            <w:pPr>
              <w:pStyle w:val="NormalWeb"/>
              <w:jc w:val="center"/>
              <w:rPr>
                <w:rFonts w:eastAsiaTheme="minorEastAsia"/>
              </w:rPr>
            </w:pPr>
            <w:r>
              <w:t>X </w:t>
            </w:r>
          </w:p>
        </w:tc>
        <w:tc>
          <w:tcPr>
            <w:tcW w:w="0" w:type="auto"/>
            <w:tcBorders>
              <w:top w:val="nil"/>
              <w:left w:val="nil"/>
              <w:bottom w:val="outset" w:sz="8" w:space="0" w:color="111111"/>
              <w:right w:val="outset" w:sz="8" w:space="0" w:color="111111"/>
            </w:tcBorders>
            <w:tcMar>
              <w:top w:w="15" w:type="dxa"/>
              <w:left w:w="15" w:type="dxa"/>
              <w:bottom w:w="15" w:type="dxa"/>
              <w:right w:w="15" w:type="dxa"/>
            </w:tcMar>
            <w:vAlign w:val="center"/>
            <w:hideMark/>
          </w:tcPr>
          <w:p w:rsidR="00674FBB" w:rsidRDefault="00674FBB">
            <w:pPr>
              <w:pStyle w:val="NormalWeb"/>
              <w:jc w:val="center"/>
              <w:rPr>
                <w:rFonts w:eastAsiaTheme="minorEastAsia"/>
              </w:rPr>
            </w:pPr>
            <w:r>
              <w:t> </w:t>
            </w:r>
          </w:p>
        </w:tc>
      </w:tr>
      <w:tr w:rsidR="00674FBB">
        <w:trPr>
          <w:divId w:val="1293638768"/>
        </w:trPr>
        <w:tc>
          <w:tcPr>
            <w:tcW w:w="0" w:type="auto"/>
            <w:tcBorders>
              <w:top w:val="nil"/>
              <w:left w:val="outset" w:sz="8" w:space="0" w:color="111111"/>
              <w:bottom w:val="outset" w:sz="8" w:space="0" w:color="111111"/>
              <w:right w:val="outset" w:sz="8" w:space="0" w:color="111111"/>
            </w:tcBorders>
            <w:tcMar>
              <w:top w:w="15" w:type="dxa"/>
              <w:left w:w="15" w:type="dxa"/>
              <w:bottom w:w="15" w:type="dxa"/>
              <w:right w:w="15" w:type="dxa"/>
            </w:tcMar>
            <w:vAlign w:val="center"/>
            <w:hideMark/>
          </w:tcPr>
          <w:p w:rsidR="00674FBB" w:rsidRDefault="00674FBB">
            <w:pPr>
              <w:pStyle w:val="NormalWeb"/>
              <w:jc w:val="center"/>
              <w:rPr>
                <w:rFonts w:eastAsiaTheme="minorEastAsia"/>
              </w:rPr>
            </w:pPr>
            <w:r>
              <w:t>Imod</w:t>
            </w:r>
          </w:p>
        </w:tc>
        <w:tc>
          <w:tcPr>
            <w:tcW w:w="0" w:type="auto"/>
            <w:tcBorders>
              <w:top w:val="nil"/>
              <w:left w:val="nil"/>
              <w:bottom w:val="outset" w:sz="8" w:space="0" w:color="111111"/>
              <w:right w:val="outset" w:sz="8" w:space="0" w:color="111111"/>
            </w:tcBorders>
            <w:tcMar>
              <w:top w:w="15" w:type="dxa"/>
              <w:left w:w="15" w:type="dxa"/>
              <w:bottom w:w="15" w:type="dxa"/>
              <w:right w:w="15" w:type="dxa"/>
            </w:tcMar>
            <w:vAlign w:val="center"/>
            <w:hideMark/>
          </w:tcPr>
          <w:p w:rsidR="00674FBB" w:rsidRDefault="00674FBB">
            <w:pPr>
              <w:pStyle w:val="NormalWeb"/>
              <w:jc w:val="center"/>
              <w:rPr>
                <w:rFonts w:eastAsiaTheme="minorEastAsia"/>
              </w:rPr>
            </w:pPr>
            <w:r>
              <w:t> </w:t>
            </w:r>
          </w:p>
        </w:tc>
        <w:tc>
          <w:tcPr>
            <w:tcW w:w="0" w:type="auto"/>
            <w:tcBorders>
              <w:top w:val="nil"/>
              <w:left w:val="nil"/>
              <w:bottom w:val="outset" w:sz="8" w:space="0" w:color="111111"/>
              <w:right w:val="outset" w:sz="8" w:space="0" w:color="111111"/>
            </w:tcBorders>
            <w:tcMar>
              <w:top w:w="15" w:type="dxa"/>
              <w:left w:w="15" w:type="dxa"/>
              <w:bottom w:w="15" w:type="dxa"/>
              <w:right w:w="15" w:type="dxa"/>
            </w:tcMar>
            <w:vAlign w:val="center"/>
            <w:hideMark/>
          </w:tcPr>
          <w:p w:rsidR="00674FBB" w:rsidRDefault="00674FBB">
            <w:pPr>
              <w:pStyle w:val="NormalWeb"/>
              <w:jc w:val="center"/>
              <w:rPr>
                <w:rFonts w:eastAsiaTheme="minorEastAsia"/>
              </w:rPr>
            </w:pPr>
            <w:r>
              <w:t> X</w:t>
            </w:r>
          </w:p>
        </w:tc>
        <w:tc>
          <w:tcPr>
            <w:tcW w:w="0" w:type="auto"/>
            <w:vMerge/>
            <w:tcBorders>
              <w:top w:val="nil"/>
              <w:left w:val="nil"/>
              <w:bottom w:val="outset" w:sz="8" w:space="0" w:color="111111"/>
              <w:right w:val="outset" w:sz="8" w:space="0" w:color="111111"/>
            </w:tcBorders>
            <w:vAlign w:val="center"/>
            <w:hideMark/>
          </w:tcPr>
          <w:p w:rsidR="00674FBB" w:rsidRDefault="00674FBB">
            <w:pPr>
              <w:rPr>
                <w:rFonts w:eastAsiaTheme="minorEastAsia"/>
                <w:sz w:val="24"/>
              </w:rPr>
            </w:pPr>
          </w:p>
        </w:tc>
        <w:tc>
          <w:tcPr>
            <w:tcW w:w="0" w:type="auto"/>
            <w:tcBorders>
              <w:top w:val="nil"/>
              <w:left w:val="nil"/>
              <w:bottom w:val="outset" w:sz="8" w:space="0" w:color="111111"/>
              <w:right w:val="outset" w:sz="8" w:space="0" w:color="111111"/>
            </w:tcBorders>
            <w:tcMar>
              <w:top w:w="15" w:type="dxa"/>
              <w:left w:w="15" w:type="dxa"/>
              <w:bottom w:w="15" w:type="dxa"/>
              <w:right w:w="15" w:type="dxa"/>
            </w:tcMar>
            <w:vAlign w:val="center"/>
            <w:hideMark/>
          </w:tcPr>
          <w:p w:rsidR="00674FBB" w:rsidRDefault="00674FBB">
            <w:pPr>
              <w:pStyle w:val="NormalWeb"/>
              <w:jc w:val="center"/>
              <w:rPr>
                <w:rFonts w:eastAsiaTheme="minorEastAsia"/>
              </w:rPr>
            </w:pPr>
            <w:r>
              <w:t> X</w:t>
            </w:r>
          </w:p>
        </w:tc>
        <w:tc>
          <w:tcPr>
            <w:tcW w:w="0" w:type="auto"/>
            <w:tcBorders>
              <w:top w:val="nil"/>
              <w:left w:val="nil"/>
              <w:bottom w:val="outset" w:sz="8" w:space="0" w:color="111111"/>
              <w:right w:val="outset" w:sz="8" w:space="0" w:color="111111"/>
            </w:tcBorders>
            <w:tcMar>
              <w:top w:w="15" w:type="dxa"/>
              <w:left w:w="15" w:type="dxa"/>
              <w:bottom w:w="15" w:type="dxa"/>
              <w:right w:w="15" w:type="dxa"/>
            </w:tcMar>
            <w:vAlign w:val="center"/>
            <w:hideMark/>
          </w:tcPr>
          <w:p w:rsidR="00674FBB" w:rsidRDefault="00674FBB">
            <w:pPr>
              <w:pStyle w:val="NormalWeb"/>
              <w:jc w:val="center"/>
              <w:rPr>
                <w:rFonts w:eastAsiaTheme="minorEastAsia"/>
              </w:rPr>
            </w:pPr>
            <w:r>
              <w:t> </w:t>
            </w:r>
          </w:p>
        </w:tc>
        <w:tc>
          <w:tcPr>
            <w:tcW w:w="0" w:type="auto"/>
            <w:tcBorders>
              <w:top w:val="nil"/>
              <w:left w:val="nil"/>
              <w:bottom w:val="outset" w:sz="8" w:space="0" w:color="111111"/>
              <w:right w:val="outset" w:sz="8" w:space="0" w:color="111111"/>
            </w:tcBorders>
            <w:tcMar>
              <w:top w:w="15" w:type="dxa"/>
              <w:left w:w="15" w:type="dxa"/>
              <w:bottom w:w="15" w:type="dxa"/>
              <w:right w:w="15" w:type="dxa"/>
            </w:tcMar>
            <w:vAlign w:val="center"/>
            <w:hideMark/>
          </w:tcPr>
          <w:p w:rsidR="00674FBB" w:rsidRDefault="00674FBB">
            <w:pPr>
              <w:pStyle w:val="NormalWeb"/>
              <w:jc w:val="center"/>
              <w:rPr>
                <w:rFonts w:eastAsiaTheme="minorEastAsia"/>
              </w:rPr>
            </w:pPr>
            <w:r>
              <w:t> </w:t>
            </w:r>
          </w:p>
        </w:tc>
        <w:tc>
          <w:tcPr>
            <w:tcW w:w="0" w:type="auto"/>
            <w:tcBorders>
              <w:top w:val="nil"/>
              <w:left w:val="nil"/>
              <w:bottom w:val="outset" w:sz="8" w:space="0" w:color="111111"/>
              <w:right w:val="outset" w:sz="8" w:space="0" w:color="111111"/>
            </w:tcBorders>
            <w:tcMar>
              <w:top w:w="15" w:type="dxa"/>
              <w:left w:w="15" w:type="dxa"/>
              <w:bottom w:w="15" w:type="dxa"/>
              <w:right w:w="15" w:type="dxa"/>
            </w:tcMar>
            <w:vAlign w:val="center"/>
            <w:hideMark/>
          </w:tcPr>
          <w:p w:rsidR="00674FBB" w:rsidRDefault="00674FBB">
            <w:pPr>
              <w:pStyle w:val="NormalWeb"/>
              <w:jc w:val="center"/>
              <w:rPr>
                <w:rFonts w:eastAsiaTheme="minorEastAsia"/>
              </w:rPr>
            </w:pPr>
            <w:r>
              <w:t> X</w:t>
            </w:r>
          </w:p>
        </w:tc>
      </w:tr>
      <w:tr w:rsidR="00674FBB">
        <w:trPr>
          <w:divId w:val="1293638768"/>
        </w:trPr>
        <w:tc>
          <w:tcPr>
            <w:tcW w:w="0" w:type="auto"/>
            <w:tcBorders>
              <w:top w:val="nil"/>
              <w:left w:val="outset" w:sz="8" w:space="0" w:color="111111"/>
              <w:bottom w:val="outset" w:sz="8" w:space="0" w:color="111111"/>
              <w:right w:val="outset" w:sz="8" w:space="0" w:color="111111"/>
            </w:tcBorders>
            <w:tcMar>
              <w:top w:w="15" w:type="dxa"/>
              <w:left w:w="15" w:type="dxa"/>
              <w:bottom w:w="15" w:type="dxa"/>
              <w:right w:w="15" w:type="dxa"/>
            </w:tcMar>
            <w:vAlign w:val="center"/>
            <w:hideMark/>
          </w:tcPr>
          <w:p w:rsidR="00674FBB" w:rsidRDefault="00674FBB">
            <w:pPr>
              <w:pStyle w:val="NormalWeb"/>
              <w:jc w:val="center"/>
              <w:rPr>
                <w:rFonts w:eastAsiaTheme="minorEastAsia"/>
              </w:rPr>
            </w:pPr>
            <w:r>
              <w:t>Undlod</w:t>
            </w:r>
          </w:p>
        </w:tc>
        <w:tc>
          <w:tcPr>
            <w:tcW w:w="0" w:type="auto"/>
            <w:tcBorders>
              <w:top w:val="nil"/>
              <w:left w:val="nil"/>
              <w:bottom w:val="outset" w:sz="8" w:space="0" w:color="111111"/>
              <w:right w:val="outset" w:sz="8" w:space="0" w:color="111111"/>
            </w:tcBorders>
            <w:tcMar>
              <w:top w:w="15" w:type="dxa"/>
              <w:left w:w="15" w:type="dxa"/>
              <w:bottom w:w="15" w:type="dxa"/>
              <w:right w:w="15" w:type="dxa"/>
            </w:tcMar>
            <w:vAlign w:val="center"/>
            <w:hideMark/>
          </w:tcPr>
          <w:p w:rsidR="00674FBB" w:rsidRDefault="00674FBB">
            <w:pPr>
              <w:pStyle w:val="NormalWeb"/>
              <w:jc w:val="center"/>
              <w:rPr>
                <w:rFonts w:eastAsiaTheme="minorEastAsia"/>
              </w:rPr>
            </w:pPr>
            <w:r>
              <w:t> </w:t>
            </w:r>
          </w:p>
        </w:tc>
        <w:tc>
          <w:tcPr>
            <w:tcW w:w="0" w:type="auto"/>
            <w:tcBorders>
              <w:top w:val="nil"/>
              <w:left w:val="nil"/>
              <w:bottom w:val="outset" w:sz="8" w:space="0" w:color="111111"/>
              <w:right w:val="outset" w:sz="8" w:space="0" w:color="111111"/>
            </w:tcBorders>
            <w:tcMar>
              <w:top w:w="15" w:type="dxa"/>
              <w:left w:w="15" w:type="dxa"/>
              <w:bottom w:w="15" w:type="dxa"/>
              <w:right w:w="15" w:type="dxa"/>
            </w:tcMar>
            <w:vAlign w:val="center"/>
            <w:hideMark/>
          </w:tcPr>
          <w:p w:rsidR="00674FBB" w:rsidRDefault="00674FBB">
            <w:pPr>
              <w:pStyle w:val="NormalWeb"/>
              <w:jc w:val="center"/>
              <w:rPr>
                <w:rFonts w:eastAsiaTheme="minorEastAsia"/>
              </w:rPr>
            </w:pPr>
            <w:r>
              <w:t> </w:t>
            </w:r>
          </w:p>
        </w:tc>
        <w:tc>
          <w:tcPr>
            <w:tcW w:w="0" w:type="auto"/>
            <w:vMerge/>
            <w:tcBorders>
              <w:top w:val="nil"/>
              <w:left w:val="nil"/>
              <w:bottom w:val="outset" w:sz="8" w:space="0" w:color="111111"/>
              <w:right w:val="outset" w:sz="8" w:space="0" w:color="111111"/>
            </w:tcBorders>
            <w:vAlign w:val="center"/>
            <w:hideMark/>
          </w:tcPr>
          <w:p w:rsidR="00674FBB" w:rsidRDefault="00674FBB">
            <w:pPr>
              <w:rPr>
                <w:rFonts w:eastAsiaTheme="minorEastAsia"/>
                <w:sz w:val="24"/>
              </w:rPr>
            </w:pPr>
          </w:p>
        </w:tc>
        <w:tc>
          <w:tcPr>
            <w:tcW w:w="0" w:type="auto"/>
            <w:tcBorders>
              <w:top w:val="nil"/>
              <w:left w:val="nil"/>
              <w:bottom w:val="outset" w:sz="8" w:space="0" w:color="111111"/>
              <w:right w:val="outset" w:sz="8" w:space="0" w:color="111111"/>
            </w:tcBorders>
            <w:tcMar>
              <w:top w:w="15" w:type="dxa"/>
              <w:left w:w="15" w:type="dxa"/>
              <w:bottom w:w="15" w:type="dxa"/>
              <w:right w:w="15" w:type="dxa"/>
            </w:tcMar>
            <w:vAlign w:val="center"/>
            <w:hideMark/>
          </w:tcPr>
          <w:p w:rsidR="00674FBB" w:rsidRDefault="00674FBB">
            <w:pPr>
              <w:pStyle w:val="NormalWeb"/>
              <w:jc w:val="center"/>
              <w:rPr>
                <w:rFonts w:eastAsiaTheme="minorEastAsia"/>
              </w:rPr>
            </w:pPr>
            <w:r>
              <w:t> </w:t>
            </w:r>
          </w:p>
        </w:tc>
        <w:tc>
          <w:tcPr>
            <w:tcW w:w="0" w:type="auto"/>
            <w:tcBorders>
              <w:top w:val="nil"/>
              <w:left w:val="nil"/>
              <w:bottom w:val="outset" w:sz="8" w:space="0" w:color="111111"/>
              <w:right w:val="outset" w:sz="8" w:space="0" w:color="111111"/>
            </w:tcBorders>
            <w:tcMar>
              <w:top w:w="15" w:type="dxa"/>
              <w:left w:w="15" w:type="dxa"/>
              <w:bottom w:w="15" w:type="dxa"/>
              <w:right w:w="15" w:type="dxa"/>
            </w:tcMar>
            <w:vAlign w:val="center"/>
            <w:hideMark/>
          </w:tcPr>
          <w:p w:rsidR="00674FBB" w:rsidRDefault="00674FBB">
            <w:pPr>
              <w:pStyle w:val="NormalWeb"/>
              <w:jc w:val="center"/>
              <w:rPr>
                <w:rFonts w:eastAsiaTheme="minorEastAsia"/>
              </w:rPr>
            </w:pPr>
            <w:r>
              <w:t> </w:t>
            </w:r>
          </w:p>
        </w:tc>
        <w:tc>
          <w:tcPr>
            <w:tcW w:w="0" w:type="auto"/>
            <w:tcBorders>
              <w:top w:val="nil"/>
              <w:left w:val="nil"/>
              <w:bottom w:val="outset" w:sz="8" w:space="0" w:color="111111"/>
              <w:right w:val="outset" w:sz="8" w:space="0" w:color="111111"/>
            </w:tcBorders>
            <w:tcMar>
              <w:top w:w="15" w:type="dxa"/>
              <w:left w:w="15" w:type="dxa"/>
              <w:bottom w:w="15" w:type="dxa"/>
              <w:right w:w="15" w:type="dxa"/>
            </w:tcMar>
            <w:vAlign w:val="center"/>
            <w:hideMark/>
          </w:tcPr>
          <w:p w:rsidR="00674FBB" w:rsidRDefault="00674FBB">
            <w:pPr>
              <w:pStyle w:val="NormalWeb"/>
              <w:jc w:val="center"/>
              <w:rPr>
                <w:rFonts w:eastAsiaTheme="minorEastAsia"/>
              </w:rPr>
            </w:pPr>
            <w:r>
              <w:t> </w:t>
            </w:r>
          </w:p>
        </w:tc>
        <w:tc>
          <w:tcPr>
            <w:tcW w:w="0" w:type="auto"/>
            <w:tcBorders>
              <w:top w:val="nil"/>
              <w:left w:val="nil"/>
              <w:bottom w:val="outset" w:sz="8" w:space="0" w:color="111111"/>
              <w:right w:val="outset" w:sz="8" w:space="0" w:color="111111"/>
            </w:tcBorders>
            <w:tcMar>
              <w:top w:w="15" w:type="dxa"/>
              <w:left w:w="15" w:type="dxa"/>
              <w:bottom w:w="15" w:type="dxa"/>
              <w:right w:w="15" w:type="dxa"/>
            </w:tcMar>
            <w:vAlign w:val="center"/>
            <w:hideMark/>
          </w:tcPr>
          <w:p w:rsidR="00674FBB" w:rsidRDefault="00674FBB">
            <w:pPr>
              <w:pStyle w:val="NormalWeb"/>
              <w:jc w:val="center"/>
              <w:rPr>
                <w:rFonts w:eastAsiaTheme="minorEastAsia"/>
              </w:rPr>
            </w:pPr>
            <w:r>
              <w:t> </w:t>
            </w:r>
          </w:p>
        </w:tc>
      </w:tr>
    </w:tbl>
    <w:p w:rsidR="00674FBB" w:rsidRDefault="00674FBB">
      <w:pPr>
        <w:pStyle w:val="NormalWeb"/>
        <w:divId w:val="1293638768"/>
        <w:rPr>
          <w:rFonts w:eastAsiaTheme="minorEastAsia"/>
        </w:rPr>
      </w:pPr>
      <w:r>
        <w:t> </w:t>
      </w:r>
    </w:p>
    <w:p w:rsidR="00674FBB" w:rsidRDefault="00674FBB">
      <w:pPr>
        <w:pStyle w:val="NormalWeb"/>
        <w:divId w:val="1293638768"/>
      </w:pPr>
      <w:r>
        <w:t xml:space="preserve">Forslaget faldt. </w:t>
      </w:r>
    </w:p>
    <w:p w:rsidR="00674FBB" w:rsidRDefault="00674FBB">
      <w:pPr>
        <w:pStyle w:val="NormalWeb"/>
        <w:divId w:val="1293638768"/>
      </w:pPr>
      <w:r>
        <w:t> </w:t>
      </w:r>
    </w:p>
    <w:p w:rsidR="00674FBB" w:rsidRDefault="00674FBB">
      <w:pPr>
        <w:pStyle w:val="NormalWeb"/>
        <w:divId w:val="1293638768"/>
      </w:pPr>
      <w:r>
        <w:t>Direktionens indstilling blev herefter anbefalet godkendt efter afstemning.</w:t>
      </w:r>
    </w:p>
    <w:p w:rsidR="00674FBB" w:rsidRDefault="00674FBB">
      <w:pPr>
        <w:pStyle w:val="NormalWeb"/>
        <w:divId w:val="1293638768"/>
      </w:pPr>
      <w:r>
        <w:t> </w:t>
      </w:r>
    </w:p>
    <w:tbl>
      <w:tblPr>
        <w:tblW w:w="4500" w:type="pct"/>
        <w:tblCellMar>
          <w:left w:w="0" w:type="dxa"/>
          <w:right w:w="0" w:type="dxa"/>
        </w:tblCellMar>
        <w:tblLook w:val="04A0" w:firstRow="1" w:lastRow="0" w:firstColumn="1" w:lastColumn="0" w:noHBand="0" w:noVBand="1"/>
      </w:tblPr>
      <w:tblGrid>
        <w:gridCol w:w="799"/>
        <w:gridCol w:w="855"/>
        <w:gridCol w:w="1071"/>
        <w:gridCol w:w="1173"/>
        <w:gridCol w:w="1339"/>
        <w:gridCol w:w="959"/>
        <w:gridCol w:w="880"/>
        <w:gridCol w:w="1051"/>
      </w:tblGrid>
      <w:tr w:rsidR="00674FBB">
        <w:trPr>
          <w:divId w:val="1293638768"/>
        </w:trPr>
        <w:tc>
          <w:tcPr>
            <w:tcW w:w="0" w:type="auto"/>
            <w:tcBorders>
              <w:top w:val="outset" w:sz="8" w:space="0" w:color="111111"/>
              <w:left w:val="outset" w:sz="8" w:space="0" w:color="111111"/>
              <w:bottom w:val="outset" w:sz="8" w:space="0" w:color="111111"/>
              <w:right w:val="outset" w:sz="8" w:space="0" w:color="111111"/>
            </w:tcBorders>
            <w:tcMar>
              <w:top w:w="15" w:type="dxa"/>
              <w:left w:w="15" w:type="dxa"/>
              <w:bottom w:w="15" w:type="dxa"/>
              <w:right w:w="15" w:type="dxa"/>
            </w:tcMar>
            <w:vAlign w:val="center"/>
            <w:hideMark/>
          </w:tcPr>
          <w:p w:rsidR="00674FBB" w:rsidRDefault="00674FBB">
            <w:pPr>
              <w:pStyle w:val="NormalWeb"/>
              <w:jc w:val="center"/>
              <w:rPr>
                <w:rFonts w:eastAsiaTheme="minorEastAsia"/>
              </w:rPr>
            </w:pPr>
            <w:r>
              <w:t xml:space="preserve">  </w:t>
            </w:r>
          </w:p>
        </w:tc>
        <w:tc>
          <w:tcPr>
            <w:tcW w:w="0" w:type="auto"/>
            <w:tcBorders>
              <w:top w:val="outset" w:sz="8" w:space="0" w:color="111111"/>
              <w:left w:val="nil"/>
              <w:bottom w:val="outset" w:sz="8" w:space="0" w:color="111111"/>
              <w:right w:val="outset" w:sz="8" w:space="0" w:color="111111"/>
            </w:tcBorders>
            <w:tcMar>
              <w:top w:w="15" w:type="dxa"/>
              <w:left w:w="15" w:type="dxa"/>
              <w:bottom w:w="15" w:type="dxa"/>
              <w:right w:w="15" w:type="dxa"/>
            </w:tcMar>
            <w:vAlign w:val="center"/>
            <w:hideMark/>
          </w:tcPr>
          <w:p w:rsidR="00674FBB" w:rsidRDefault="00674FBB">
            <w:pPr>
              <w:pStyle w:val="NormalWeb"/>
              <w:jc w:val="center"/>
              <w:rPr>
                <w:rFonts w:eastAsiaTheme="minorEastAsia"/>
              </w:rPr>
            </w:pPr>
            <w:r>
              <w:t>V</w:t>
            </w:r>
            <w:r>
              <w:br/>
              <w:t>Klaus Hansen (hjkh) V</w:t>
            </w:r>
          </w:p>
        </w:tc>
        <w:tc>
          <w:tcPr>
            <w:tcW w:w="0" w:type="auto"/>
            <w:tcBorders>
              <w:top w:val="outset" w:sz="8" w:space="0" w:color="111111"/>
              <w:left w:val="nil"/>
              <w:bottom w:val="outset" w:sz="8" w:space="0" w:color="111111"/>
              <w:right w:val="outset" w:sz="8" w:space="0" w:color="111111"/>
            </w:tcBorders>
            <w:tcMar>
              <w:top w:w="15" w:type="dxa"/>
              <w:left w:w="15" w:type="dxa"/>
              <w:bottom w:w="15" w:type="dxa"/>
              <w:right w:w="15" w:type="dxa"/>
            </w:tcMar>
            <w:vAlign w:val="center"/>
            <w:hideMark/>
          </w:tcPr>
          <w:p w:rsidR="00674FBB" w:rsidRDefault="00674FBB">
            <w:pPr>
              <w:pStyle w:val="NormalWeb"/>
              <w:jc w:val="center"/>
              <w:rPr>
                <w:rFonts w:eastAsiaTheme="minorEastAsia"/>
              </w:rPr>
            </w:pPr>
            <w:r>
              <w:t>C</w:t>
            </w:r>
            <w:r>
              <w:br/>
              <w:t>Finn Andersen (hjfian) C</w:t>
            </w:r>
          </w:p>
        </w:tc>
        <w:tc>
          <w:tcPr>
            <w:tcW w:w="0" w:type="auto"/>
            <w:tcBorders>
              <w:top w:val="outset" w:sz="8" w:space="0" w:color="111111"/>
              <w:left w:val="nil"/>
              <w:bottom w:val="outset" w:sz="8" w:space="0" w:color="111111"/>
              <w:right w:val="outset" w:sz="8" w:space="0" w:color="111111"/>
            </w:tcBorders>
            <w:tcMar>
              <w:top w:w="15" w:type="dxa"/>
              <w:left w:w="15" w:type="dxa"/>
              <w:bottom w:w="15" w:type="dxa"/>
              <w:right w:w="15" w:type="dxa"/>
            </w:tcMar>
            <w:vAlign w:val="center"/>
            <w:hideMark/>
          </w:tcPr>
          <w:p w:rsidR="00674FBB" w:rsidRDefault="00674FBB">
            <w:pPr>
              <w:pStyle w:val="NormalWeb"/>
              <w:jc w:val="center"/>
              <w:rPr>
                <w:rFonts w:eastAsiaTheme="minorEastAsia"/>
              </w:rPr>
            </w:pPr>
            <w:r>
              <w:t>V</w:t>
            </w:r>
            <w:r>
              <w:br/>
              <w:t>Johnny Brown Lundberg Dahlgaard (hjjoda) V</w:t>
            </w:r>
          </w:p>
        </w:tc>
        <w:tc>
          <w:tcPr>
            <w:tcW w:w="0" w:type="auto"/>
            <w:tcBorders>
              <w:top w:val="outset" w:sz="8" w:space="0" w:color="111111"/>
              <w:left w:val="nil"/>
              <w:bottom w:val="outset" w:sz="8" w:space="0" w:color="111111"/>
              <w:right w:val="outset" w:sz="8" w:space="0" w:color="111111"/>
            </w:tcBorders>
            <w:tcMar>
              <w:top w:w="15" w:type="dxa"/>
              <w:left w:w="15" w:type="dxa"/>
              <w:bottom w:w="15" w:type="dxa"/>
              <w:right w:w="15" w:type="dxa"/>
            </w:tcMar>
            <w:vAlign w:val="center"/>
            <w:hideMark/>
          </w:tcPr>
          <w:p w:rsidR="00674FBB" w:rsidRDefault="00674FBB">
            <w:pPr>
              <w:pStyle w:val="NormalWeb"/>
              <w:jc w:val="center"/>
              <w:rPr>
                <w:rFonts w:eastAsiaTheme="minorEastAsia"/>
              </w:rPr>
            </w:pPr>
            <w:r>
              <w:t>A</w:t>
            </w:r>
            <w:r>
              <w:br/>
              <w:t>Benny Christensen (bsbech) A</w:t>
            </w:r>
          </w:p>
        </w:tc>
        <w:tc>
          <w:tcPr>
            <w:tcW w:w="0" w:type="auto"/>
            <w:tcBorders>
              <w:top w:val="outset" w:sz="8" w:space="0" w:color="111111"/>
              <w:left w:val="nil"/>
              <w:bottom w:val="outset" w:sz="8" w:space="0" w:color="111111"/>
              <w:right w:val="outset" w:sz="8" w:space="0" w:color="111111"/>
            </w:tcBorders>
            <w:tcMar>
              <w:top w:w="15" w:type="dxa"/>
              <w:left w:w="15" w:type="dxa"/>
              <w:bottom w:w="15" w:type="dxa"/>
              <w:right w:w="15" w:type="dxa"/>
            </w:tcMar>
            <w:vAlign w:val="center"/>
            <w:hideMark/>
          </w:tcPr>
          <w:p w:rsidR="00674FBB" w:rsidRDefault="00674FBB">
            <w:pPr>
              <w:pStyle w:val="NormalWeb"/>
              <w:jc w:val="center"/>
              <w:rPr>
                <w:rFonts w:eastAsiaTheme="minorEastAsia"/>
              </w:rPr>
            </w:pPr>
            <w:r>
              <w:t>O</w:t>
            </w:r>
            <w:r>
              <w:br/>
              <w:t>Per Nørhave (hjpen) O</w:t>
            </w:r>
          </w:p>
        </w:tc>
        <w:tc>
          <w:tcPr>
            <w:tcW w:w="0" w:type="auto"/>
            <w:tcBorders>
              <w:top w:val="outset" w:sz="8" w:space="0" w:color="111111"/>
              <w:left w:val="nil"/>
              <w:bottom w:val="outset" w:sz="8" w:space="0" w:color="111111"/>
              <w:right w:val="outset" w:sz="8" w:space="0" w:color="111111"/>
            </w:tcBorders>
            <w:tcMar>
              <w:top w:w="15" w:type="dxa"/>
              <w:left w:w="15" w:type="dxa"/>
              <w:bottom w:w="15" w:type="dxa"/>
              <w:right w:w="15" w:type="dxa"/>
            </w:tcMar>
            <w:vAlign w:val="center"/>
            <w:hideMark/>
          </w:tcPr>
          <w:p w:rsidR="00674FBB" w:rsidRDefault="00674FBB">
            <w:pPr>
              <w:pStyle w:val="NormalWeb"/>
              <w:jc w:val="center"/>
              <w:rPr>
                <w:rFonts w:eastAsiaTheme="minorEastAsia"/>
              </w:rPr>
            </w:pPr>
            <w:r>
              <w:t>F</w:t>
            </w:r>
            <w:r>
              <w:br/>
              <w:t>Britta Nielsen (hjbrni) F</w:t>
            </w:r>
          </w:p>
        </w:tc>
        <w:tc>
          <w:tcPr>
            <w:tcW w:w="0" w:type="auto"/>
            <w:tcBorders>
              <w:top w:val="outset" w:sz="8" w:space="0" w:color="111111"/>
              <w:left w:val="nil"/>
              <w:bottom w:val="outset" w:sz="8" w:space="0" w:color="111111"/>
              <w:right w:val="outset" w:sz="8" w:space="0" w:color="111111"/>
            </w:tcBorders>
            <w:tcMar>
              <w:top w:w="15" w:type="dxa"/>
              <w:left w:w="15" w:type="dxa"/>
              <w:bottom w:w="15" w:type="dxa"/>
              <w:right w:w="15" w:type="dxa"/>
            </w:tcMar>
            <w:vAlign w:val="center"/>
            <w:hideMark/>
          </w:tcPr>
          <w:p w:rsidR="00674FBB" w:rsidRDefault="00674FBB">
            <w:pPr>
              <w:pStyle w:val="NormalWeb"/>
              <w:jc w:val="center"/>
              <w:rPr>
                <w:rFonts w:eastAsiaTheme="minorEastAsia"/>
              </w:rPr>
            </w:pPr>
            <w:r>
              <w:t>Ø</w:t>
            </w:r>
            <w:r>
              <w:br/>
              <w:t>Jan Jakobsen (jja) Ø</w:t>
            </w:r>
          </w:p>
        </w:tc>
      </w:tr>
      <w:tr w:rsidR="00674FBB">
        <w:trPr>
          <w:divId w:val="1293638768"/>
        </w:trPr>
        <w:tc>
          <w:tcPr>
            <w:tcW w:w="0" w:type="auto"/>
            <w:tcBorders>
              <w:top w:val="nil"/>
              <w:left w:val="outset" w:sz="8" w:space="0" w:color="111111"/>
              <w:bottom w:val="outset" w:sz="8" w:space="0" w:color="111111"/>
              <w:right w:val="outset" w:sz="8" w:space="0" w:color="111111"/>
            </w:tcBorders>
            <w:tcMar>
              <w:top w:w="15" w:type="dxa"/>
              <w:left w:w="15" w:type="dxa"/>
              <w:bottom w:w="15" w:type="dxa"/>
              <w:right w:w="15" w:type="dxa"/>
            </w:tcMar>
            <w:vAlign w:val="center"/>
            <w:hideMark/>
          </w:tcPr>
          <w:p w:rsidR="00674FBB" w:rsidRDefault="00674FBB">
            <w:pPr>
              <w:pStyle w:val="NormalWeb"/>
              <w:jc w:val="center"/>
              <w:rPr>
                <w:rFonts w:eastAsiaTheme="minorEastAsia"/>
              </w:rPr>
            </w:pPr>
            <w:r>
              <w:t>For</w:t>
            </w:r>
          </w:p>
        </w:tc>
        <w:tc>
          <w:tcPr>
            <w:tcW w:w="0" w:type="auto"/>
            <w:tcBorders>
              <w:top w:val="nil"/>
              <w:left w:val="nil"/>
              <w:bottom w:val="outset" w:sz="8" w:space="0" w:color="111111"/>
              <w:right w:val="outset" w:sz="8" w:space="0" w:color="111111"/>
            </w:tcBorders>
            <w:tcMar>
              <w:top w:w="15" w:type="dxa"/>
              <w:left w:w="15" w:type="dxa"/>
              <w:bottom w:w="15" w:type="dxa"/>
              <w:right w:w="15" w:type="dxa"/>
            </w:tcMar>
            <w:vAlign w:val="center"/>
            <w:hideMark/>
          </w:tcPr>
          <w:p w:rsidR="00674FBB" w:rsidRDefault="00674FBB">
            <w:pPr>
              <w:pStyle w:val="NormalWeb"/>
              <w:jc w:val="center"/>
              <w:rPr>
                <w:rFonts w:eastAsiaTheme="minorEastAsia"/>
              </w:rPr>
            </w:pPr>
            <w:r>
              <w:t> </w:t>
            </w:r>
          </w:p>
        </w:tc>
        <w:tc>
          <w:tcPr>
            <w:tcW w:w="0" w:type="auto"/>
            <w:tcBorders>
              <w:top w:val="nil"/>
              <w:left w:val="nil"/>
              <w:bottom w:val="outset" w:sz="8" w:space="0" w:color="111111"/>
              <w:right w:val="outset" w:sz="8" w:space="0" w:color="111111"/>
            </w:tcBorders>
            <w:tcMar>
              <w:top w:w="15" w:type="dxa"/>
              <w:left w:w="15" w:type="dxa"/>
              <w:bottom w:w="15" w:type="dxa"/>
              <w:right w:w="15" w:type="dxa"/>
            </w:tcMar>
            <w:vAlign w:val="center"/>
            <w:hideMark/>
          </w:tcPr>
          <w:p w:rsidR="00674FBB" w:rsidRDefault="00674FBB">
            <w:pPr>
              <w:pStyle w:val="NormalWeb"/>
              <w:jc w:val="center"/>
              <w:rPr>
                <w:rFonts w:eastAsiaTheme="minorEastAsia"/>
              </w:rPr>
            </w:pPr>
            <w:r>
              <w:t> X</w:t>
            </w:r>
          </w:p>
        </w:tc>
        <w:tc>
          <w:tcPr>
            <w:tcW w:w="0" w:type="auto"/>
            <w:vMerge w:val="restart"/>
            <w:tcBorders>
              <w:top w:val="nil"/>
              <w:left w:val="nil"/>
              <w:bottom w:val="outset" w:sz="8" w:space="0" w:color="111111"/>
              <w:right w:val="outset" w:sz="8" w:space="0" w:color="111111"/>
            </w:tcBorders>
            <w:tcMar>
              <w:top w:w="15" w:type="dxa"/>
              <w:left w:w="15" w:type="dxa"/>
              <w:bottom w:w="15" w:type="dxa"/>
              <w:right w:w="15" w:type="dxa"/>
            </w:tcMar>
            <w:vAlign w:val="center"/>
            <w:hideMark/>
          </w:tcPr>
          <w:p w:rsidR="00674FBB" w:rsidRDefault="00674FBB">
            <w:pPr>
              <w:pStyle w:val="NormalWeb"/>
              <w:jc w:val="center"/>
              <w:rPr>
                <w:rFonts w:eastAsiaTheme="minorEastAsia"/>
              </w:rPr>
            </w:pPr>
            <w:r>
              <w:t>Ej til stede</w:t>
            </w:r>
          </w:p>
        </w:tc>
        <w:tc>
          <w:tcPr>
            <w:tcW w:w="0" w:type="auto"/>
            <w:tcBorders>
              <w:top w:val="nil"/>
              <w:left w:val="nil"/>
              <w:bottom w:val="outset" w:sz="8" w:space="0" w:color="111111"/>
              <w:right w:val="outset" w:sz="8" w:space="0" w:color="111111"/>
            </w:tcBorders>
            <w:tcMar>
              <w:top w:w="15" w:type="dxa"/>
              <w:left w:w="15" w:type="dxa"/>
              <w:bottom w:w="15" w:type="dxa"/>
              <w:right w:w="15" w:type="dxa"/>
            </w:tcMar>
            <w:vAlign w:val="center"/>
            <w:hideMark/>
          </w:tcPr>
          <w:p w:rsidR="00674FBB" w:rsidRDefault="00674FBB">
            <w:pPr>
              <w:pStyle w:val="NormalWeb"/>
              <w:jc w:val="center"/>
              <w:rPr>
                <w:rFonts w:eastAsiaTheme="minorEastAsia"/>
              </w:rPr>
            </w:pPr>
            <w:r>
              <w:t>X </w:t>
            </w:r>
          </w:p>
        </w:tc>
        <w:tc>
          <w:tcPr>
            <w:tcW w:w="0" w:type="auto"/>
            <w:tcBorders>
              <w:top w:val="nil"/>
              <w:left w:val="nil"/>
              <w:bottom w:val="outset" w:sz="8" w:space="0" w:color="111111"/>
              <w:right w:val="outset" w:sz="8" w:space="0" w:color="111111"/>
            </w:tcBorders>
            <w:tcMar>
              <w:top w:w="15" w:type="dxa"/>
              <w:left w:w="15" w:type="dxa"/>
              <w:bottom w:w="15" w:type="dxa"/>
              <w:right w:w="15" w:type="dxa"/>
            </w:tcMar>
            <w:vAlign w:val="center"/>
            <w:hideMark/>
          </w:tcPr>
          <w:p w:rsidR="00674FBB" w:rsidRDefault="00674FBB">
            <w:pPr>
              <w:pStyle w:val="NormalWeb"/>
              <w:jc w:val="center"/>
              <w:rPr>
                <w:rFonts w:eastAsiaTheme="minorEastAsia"/>
              </w:rPr>
            </w:pPr>
            <w:r>
              <w:t> </w:t>
            </w:r>
          </w:p>
        </w:tc>
        <w:tc>
          <w:tcPr>
            <w:tcW w:w="0" w:type="auto"/>
            <w:tcBorders>
              <w:top w:val="nil"/>
              <w:left w:val="nil"/>
              <w:bottom w:val="outset" w:sz="8" w:space="0" w:color="111111"/>
              <w:right w:val="outset" w:sz="8" w:space="0" w:color="111111"/>
            </w:tcBorders>
            <w:tcMar>
              <w:top w:w="15" w:type="dxa"/>
              <w:left w:w="15" w:type="dxa"/>
              <w:bottom w:w="15" w:type="dxa"/>
              <w:right w:w="15" w:type="dxa"/>
            </w:tcMar>
            <w:vAlign w:val="center"/>
            <w:hideMark/>
          </w:tcPr>
          <w:p w:rsidR="00674FBB" w:rsidRDefault="00674FBB">
            <w:pPr>
              <w:pStyle w:val="NormalWeb"/>
              <w:jc w:val="center"/>
              <w:rPr>
                <w:rFonts w:eastAsiaTheme="minorEastAsia"/>
              </w:rPr>
            </w:pPr>
            <w:r>
              <w:t> X</w:t>
            </w:r>
          </w:p>
        </w:tc>
        <w:tc>
          <w:tcPr>
            <w:tcW w:w="0" w:type="auto"/>
            <w:tcBorders>
              <w:top w:val="nil"/>
              <w:left w:val="nil"/>
              <w:bottom w:val="outset" w:sz="8" w:space="0" w:color="111111"/>
              <w:right w:val="outset" w:sz="8" w:space="0" w:color="111111"/>
            </w:tcBorders>
            <w:tcMar>
              <w:top w:w="15" w:type="dxa"/>
              <w:left w:w="15" w:type="dxa"/>
              <w:bottom w:w="15" w:type="dxa"/>
              <w:right w:w="15" w:type="dxa"/>
            </w:tcMar>
            <w:vAlign w:val="center"/>
            <w:hideMark/>
          </w:tcPr>
          <w:p w:rsidR="00674FBB" w:rsidRDefault="00674FBB">
            <w:pPr>
              <w:pStyle w:val="NormalWeb"/>
              <w:jc w:val="center"/>
              <w:rPr>
                <w:rFonts w:eastAsiaTheme="minorEastAsia"/>
              </w:rPr>
            </w:pPr>
            <w:r>
              <w:t> X</w:t>
            </w:r>
          </w:p>
        </w:tc>
      </w:tr>
      <w:tr w:rsidR="00674FBB">
        <w:trPr>
          <w:divId w:val="1293638768"/>
        </w:trPr>
        <w:tc>
          <w:tcPr>
            <w:tcW w:w="0" w:type="auto"/>
            <w:tcBorders>
              <w:top w:val="nil"/>
              <w:left w:val="outset" w:sz="8" w:space="0" w:color="111111"/>
              <w:bottom w:val="outset" w:sz="8" w:space="0" w:color="111111"/>
              <w:right w:val="outset" w:sz="8" w:space="0" w:color="111111"/>
            </w:tcBorders>
            <w:tcMar>
              <w:top w:w="15" w:type="dxa"/>
              <w:left w:w="15" w:type="dxa"/>
              <w:bottom w:w="15" w:type="dxa"/>
              <w:right w:w="15" w:type="dxa"/>
            </w:tcMar>
            <w:vAlign w:val="center"/>
            <w:hideMark/>
          </w:tcPr>
          <w:p w:rsidR="00674FBB" w:rsidRDefault="00674FBB">
            <w:pPr>
              <w:pStyle w:val="NormalWeb"/>
              <w:jc w:val="center"/>
              <w:rPr>
                <w:rFonts w:eastAsiaTheme="minorEastAsia"/>
              </w:rPr>
            </w:pPr>
            <w:r>
              <w:t>Imod</w:t>
            </w:r>
          </w:p>
        </w:tc>
        <w:tc>
          <w:tcPr>
            <w:tcW w:w="0" w:type="auto"/>
            <w:tcBorders>
              <w:top w:val="nil"/>
              <w:left w:val="nil"/>
              <w:bottom w:val="outset" w:sz="8" w:space="0" w:color="111111"/>
              <w:right w:val="outset" w:sz="8" w:space="0" w:color="111111"/>
            </w:tcBorders>
            <w:tcMar>
              <w:top w:w="15" w:type="dxa"/>
              <w:left w:w="15" w:type="dxa"/>
              <w:bottom w:w="15" w:type="dxa"/>
              <w:right w:w="15" w:type="dxa"/>
            </w:tcMar>
            <w:vAlign w:val="center"/>
            <w:hideMark/>
          </w:tcPr>
          <w:p w:rsidR="00674FBB" w:rsidRDefault="00674FBB">
            <w:pPr>
              <w:pStyle w:val="NormalWeb"/>
              <w:jc w:val="center"/>
              <w:rPr>
                <w:rFonts w:eastAsiaTheme="minorEastAsia"/>
              </w:rPr>
            </w:pPr>
            <w:r>
              <w:t> X</w:t>
            </w:r>
          </w:p>
        </w:tc>
        <w:tc>
          <w:tcPr>
            <w:tcW w:w="0" w:type="auto"/>
            <w:tcBorders>
              <w:top w:val="nil"/>
              <w:left w:val="nil"/>
              <w:bottom w:val="outset" w:sz="8" w:space="0" w:color="111111"/>
              <w:right w:val="outset" w:sz="8" w:space="0" w:color="111111"/>
            </w:tcBorders>
            <w:tcMar>
              <w:top w:w="15" w:type="dxa"/>
              <w:left w:w="15" w:type="dxa"/>
              <w:bottom w:w="15" w:type="dxa"/>
              <w:right w:w="15" w:type="dxa"/>
            </w:tcMar>
            <w:vAlign w:val="center"/>
            <w:hideMark/>
          </w:tcPr>
          <w:p w:rsidR="00674FBB" w:rsidRDefault="00674FBB">
            <w:pPr>
              <w:pStyle w:val="NormalWeb"/>
              <w:jc w:val="center"/>
              <w:rPr>
                <w:rFonts w:eastAsiaTheme="minorEastAsia"/>
              </w:rPr>
            </w:pPr>
            <w:r>
              <w:t> </w:t>
            </w:r>
          </w:p>
        </w:tc>
        <w:tc>
          <w:tcPr>
            <w:tcW w:w="0" w:type="auto"/>
            <w:vMerge/>
            <w:tcBorders>
              <w:top w:val="nil"/>
              <w:left w:val="nil"/>
              <w:bottom w:val="outset" w:sz="8" w:space="0" w:color="111111"/>
              <w:right w:val="outset" w:sz="8" w:space="0" w:color="111111"/>
            </w:tcBorders>
            <w:vAlign w:val="center"/>
            <w:hideMark/>
          </w:tcPr>
          <w:p w:rsidR="00674FBB" w:rsidRDefault="00674FBB">
            <w:pPr>
              <w:rPr>
                <w:rFonts w:eastAsiaTheme="minorEastAsia"/>
                <w:sz w:val="24"/>
              </w:rPr>
            </w:pPr>
          </w:p>
        </w:tc>
        <w:tc>
          <w:tcPr>
            <w:tcW w:w="0" w:type="auto"/>
            <w:tcBorders>
              <w:top w:val="nil"/>
              <w:left w:val="nil"/>
              <w:bottom w:val="outset" w:sz="8" w:space="0" w:color="111111"/>
              <w:right w:val="outset" w:sz="8" w:space="0" w:color="111111"/>
            </w:tcBorders>
            <w:tcMar>
              <w:top w:w="15" w:type="dxa"/>
              <w:left w:w="15" w:type="dxa"/>
              <w:bottom w:w="15" w:type="dxa"/>
              <w:right w:w="15" w:type="dxa"/>
            </w:tcMar>
            <w:vAlign w:val="center"/>
            <w:hideMark/>
          </w:tcPr>
          <w:p w:rsidR="00674FBB" w:rsidRDefault="00674FBB">
            <w:pPr>
              <w:pStyle w:val="NormalWeb"/>
              <w:jc w:val="center"/>
              <w:rPr>
                <w:rFonts w:eastAsiaTheme="minorEastAsia"/>
              </w:rPr>
            </w:pPr>
            <w:r>
              <w:t> </w:t>
            </w:r>
          </w:p>
        </w:tc>
        <w:tc>
          <w:tcPr>
            <w:tcW w:w="0" w:type="auto"/>
            <w:tcBorders>
              <w:top w:val="nil"/>
              <w:left w:val="nil"/>
              <w:bottom w:val="outset" w:sz="8" w:space="0" w:color="111111"/>
              <w:right w:val="outset" w:sz="8" w:space="0" w:color="111111"/>
            </w:tcBorders>
            <w:tcMar>
              <w:top w:w="15" w:type="dxa"/>
              <w:left w:w="15" w:type="dxa"/>
              <w:bottom w:w="15" w:type="dxa"/>
              <w:right w:w="15" w:type="dxa"/>
            </w:tcMar>
            <w:vAlign w:val="center"/>
            <w:hideMark/>
          </w:tcPr>
          <w:p w:rsidR="00674FBB" w:rsidRDefault="00674FBB">
            <w:pPr>
              <w:pStyle w:val="NormalWeb"/>
              <w:jc w:val="center"/>
              <w:rPr>
                <w:rFonts w:eastAsiaTheme="minorEastAsia"/>
              </w:rPr>
            </w:pPr>
            <w:r>
              <w:t> X</w:t>
            </w:r>
          </w:p>
        </w:tc>
        <w:tc>
          <w:tcPr>
            <w:tcW w:w="0" w:type="auto"/>
            <w:tcBorders>
              <w:top w:val="nil"/>
              <w:left w:val="nil"/>
              <w:bottom w:val="outset" w:sz="8" w:space="0" w:color="111111"/>
              <w:right w:val="outset" w:sz="8" w:space="0" w:color="111111"/>
            </w:tcBorders>
            <w:tcMar>
              <w:top w:w="15" w:type="dxa"/>
              <w:left w:w="15" w:type="dxa"/>
              <w:bottom w:w="15" w:type="dxa"/>
              <w:right w:w="15" w:type="dxa"/>
            </w:tcMar>
            <w:vAlign w:val="center"/>
            <w:hideMark/>
          </w:tcPr>
          <w:p w:rsidR="00674FBB" w:rsidRDefault="00674FBB">
            <w:pPr>
              <w:pStyle w:val="NormalWeb"/>
              <w:jc w:val="center"/>
              <w:rPr>
                <w:rFonts w:eastAsiaTheme="minorEastAsia"/>
              </w:rPr>
            </w:pPr>
            <w:r>
              <w:t> </w:t>
            </w:r>
          </w:p>
        </w:tc>
        <w:tc>
          <w:tcPr>
            <w:tcW w:w="0" w:type="auto"/>
            <w:tcBorders>
              <w:top w:val="nil"/>
              <w:left w:val="nil"/>
              <w:bottom w:val="outset" w:sz="8" w:space="0" w:color="111111"/>
              <w:right w:val="outset" w:sz="8" w:space="0" w:color="111111"/>
            </w:tcBorders>
            <w:tcMar>
              <w:top w:w="15" w:type="dxa"/>
              <w:left w:w="15" w:type="dxa"/>
              <w:bottom w:w="15" w:type="dxa"/>
              <w:right w:w="15" w:type="dxa"/>
            </w:tcMar>
            <w:vAlign w:val="center"/>
            <w:hideMark/>
          </w:tcPr>
          <w:p w:rsidR="00674FBB" w:rsidRDefault="00674FBB">
            <w:pPr>
              <w:pStyle w:val="NormalWeb"/>
              <w:jc w:val="center"/>
              <w:rPr>
                <w:rFonts w:eastAsiaTheme="minorEastAsia"/>
              </w:rPr>
            </w:pPr>
            <w:r>
              <w:t> </w:t>
            </w:r>
          </w:p>
        </w:tc>
      </w:tr>
      <w:tr w:rsidR="00674FBB">
        <w:trPr>
          <w:divId w:val="1293638768"/>
        </w:trPr>
        <w:tc>
          <w:tcPr>
            <w:tcW w:w="0" w:type="auto"/>
            <w:tcBorders>
              <w:top w:val="nil"/>
              <w:left w:val="outset" w:sz="8" w:space="0" w:color="111111"/>
              <w:bottom w:val="outset" w:sz="8" w:space="0" w:color="111111"/>
              <w:right w:val="outset" w:sz="8" w:space="0" w:color="111111"/>
            </w:tcBorders>
            <w:tcMar>
              <w:top w:w="15" w:type="dxa"/>
              <w:left w:w="15" w:type="dxa"/>
              <w:bottom w:w="15" w:type="dxa"/>
              <w:right w:w="15" w:type="dxa"/>
            </w:tcMar>
            <w:vAlign w:val="center"/>
            <w:hideMark/>
          </w:tcPr>
          <w:p w:rsidR="00674FBB" w:rsidRDefault="00674FBB">
            <w:pPr>
              <w:pStyle w:val="NormalWeb"/>
              <w:jc w:val="center"/>
              <w:rPr>
                <w:rFonts w:eastAsiaTheme="minorEastAsia"/>
              </w:rPr>
            </w:pPr>
            <w:r>
              <w:lastRenderedPageBreak/>
              <w:t>Undlod</w:t>
            </w:r>
          </w:p>
        </w:tc>
        <w:tc>
          <w:tcPr>
            <w:tcW w:w="0" w:type="auto"/>
            <w:tcBorders>
              <w:top w:val="nil"/>
              <w:left w:val="nil"/>
              <w:bottom w:val="outset" w:sz="8" w:space="0" w:color="111111"/>
              <w:right w:val="outset" w:sz="8" w:space="0" w:color="111111"/>
            </w:tcBorders>
            <w:tcMar>
              <w:top w:w="15" w:type="dxa"/>
              <w:left w:w="15" w:type="dxa"/>
              <w:bottom w:w="15" w:type="dxa"/>
              <w:right w:w="15" w:type="dxa"/>
            </w:tcMar>
            <w:vAlign w:val="center"/>
            <w:hideMark/>
          </w:tcPr>
          <w:p w:rsidR="00674FBB" w:rsidRDefault="00674FBB">
            <w:pPr>
              <w:pStyle w:val="NormalWeb"/>
              <w:jc w:val="center"/>
              <w:rPr>
                <w:rFonts w:eastAsiaTheme="minorEastAsia"/>
              </w:rPr>
            </w:pPr>
            <w:r>
              <w:t> </w:t>
            </w:r>
          </w:p>
        </w:tc>
        <w:tc>
          <w:tcPr>
            <w:tcW w:w="0" w:type="auto"/>
            <w:tcBorders>
              <w:top w:val="nil"/>
              <w:left w:val="nil"/>
              <w:bottom w:val="outset" w:sz="8" w:space="0" w:color="111111"/>
              <w:right w:val="outset" w:sz="8" w:space="0" w:color="111111"/>
            </w:tcBorders>
            <w:tcMar>
              <w:top w:w="15" w:type="dxa"/>
              <w:left w:w="15" w:type="dxa"/>
              <w:bottom w:w="15" w:type="dxa"/>
              <w:right w:w="15" w:type="dxa"/>
            </w:tcMar>
            <w:vAlign w:val="center"/>
            <w:hideMark/>
          </w:tcPr>
          <w:p w:rsidR="00674FBB" w:rsidRDefault="00674FBB">
            <w:pPr>
              <w:pStyle w:val="NormalWeb"/>
              <w:jc w:val="center"/>
              <w:rPr>
                <w:rFonts w:eastAsiaTheme="minorEastAsia"/>
              </w:rPr>
            </w:pPr>
            <w:r>
              <w:t> </w:t>
            </w:r>
          </w:p>
        </w:tc>
        <w:tc>
          <w:tcPr>
            <w:tcW w:w="0" w:type="auto"/>
            <w:vMerge/>
            <w:tcBorders>
              <w:top w:val="nil"/>
              <w:left w:val="nil"/>
              <w:bottom w:val="outset" w:sz="8" w:space="0" w:color="111111"/>
              <w:right w:val="outset" w:sz="8" w:space="0" w:color="111111"/>
            </w:tcBorders>
            <w:vAlign w:val="center"/>
            <w:hideMark/>
          </w:tcPr>
          <w:p w:rsidR="00674FBB" w:rsidRDefault="00674FBB">
            <w:pPr>
              <w:rPr>
                <w:rFonts w:eastAsiaTheme="minorEastAsia"/>
                <w:sz w:val="24"/>
              </w:rPr>
            </w:pPr>
          </w:p>
        </w:tc>
        <w:tc>
          <w:tcPr>
            <w:tcW w:w="0" w:type="auto"/>
            <w:tcBorders>
              <w:top w:val="nil"/>
              <w:left w:val="nil"/>
              <w:bottom w:val="outset" w:sz="8" w:space="0" w:color="111111"/>
              <w:right w:val="outset" w:sz="8" w:space="0" w:color="111111"/>
            </w:tcBorders>
            <w:tcMar>
              <w:top w:w="15" w:type="dxa"/>
              <w:left w:w="15" w:type="dxa"/>
              <w:bottom w:w="15" w:type="dxa"/>
              <w:right w:w="15" w:type="dxa"/>
            </w:tcMar>
            <w:vAlign w:val="center"/>
            <w:hideMark/>
          </w:tcPr>
          <w:p w:rsidR="00674FBB" w:rsidRDefault="00674FBB">
            <w:pPr>
              <w:pStyle w:val="NormalWeb"/>
              <w:jc w:val="center"/>
              <w:rPr>
                <w:rFonts w:eastAsiaTheme="minorEastAsia"/>
              </w:rPr>
            </w:pPr>
            <w:r>
              <w:t> </w:t>
            </w:r>
          </w:p>
        </w:tc>
        <w:tc>
          <w:tcPr>
            <w:tcW w:w="0" w:type="auto"/>
            <w:tcBorders>
              <w:top w:val="nil"/>
              <w:left w:val="nil"/>
              <w:bottom w:val="outset" w:sz="8" w:space="0" w:color="111111"/>
              <w:right w:val="outset" w:sz="8" w:space="0" w:color="111111"/>
            </w:tcBorders>
            <w:tcMar>
              <w:top w:w="15" w:type="dxa"/>
              <w:left w:w="15" w:type="dxa"/>
              <w:bottom w:w="15" w:type="dxa"/>
              <w:right w:w="15" w:type="dxa"/>
            </w:tcMar>
            <w:vAlign w:val="center"/>
            <w:hideMark/>
          </w:tcPr>
          <w:p w:rsidR="00674FBB" w:rsidRDefault="00674FBB">
            <w:pPr>
              <w:pStyle w:val="NormalWeb"/>
              <w:jc w:val="center"/>
              <w:rPr>
                <w:rFonts w:eastAsiaTheme="minorEastAsia"/>
              </w:rPr>
            </w:pPr>
            <w:r>
              <w:t> </w:t>
            </w:r>
          </w:p>
        </w:tc>
        <w:tc>
          <w:tcPr>
            <w:tcW w:w="0" w:type="auto"/>
            <w:tcBorders>
              <w:top w:val="nil"/>
              <w:left w:val="nil"/>
              <w:bottom w:val="outset" w:sz="8" w:space="0" w:color="111111"/>
              <w:right w:val="outset" w:sz="8" w:space="0" w:color="111111"/>
            </w:tcBorders>
            <w:tcMar>
              <w:top w:w="15" w:type="dxa"/>
              <w:left w:w="15" w:type="dxa"/>
              <w:bottom w:w="15" w:type="dxa"/>
              <w:right w:w="15" w:type="dxa"/>
            </w:tcMar>
            <w:vAlign w:val="center"/>
            <w:hideMark/>
          </w:tcPr>
          <w:p w:rsidR="00674FBB" w:rsidRDefault="00674FBB">
            <w:pPr>
              <w:pStyle w:val="NormalWeb"/>
              <w:jc w:val="center"/>
              <w:rPr>
                <w:rFonts w:eastAsiaTheme="minorEastAsia"/>
              </w:rPr>
            </w:pPr>
            <w:r>
              <w:t> </w:t>
            </w:r>
          </w:p>
        </w:tc>
        <w:tc>
          <w:tcPr>
            <w:tcW w:w="0" w:type="auto"/>
            <w:tcBorders>
              <w:top w:val="nil"/>
              <w:left w:val="nil"/>
              <w:bottom w:val="outset" w:sz="8" w:space="0" w:color="111111"/>
              <w:right w:val="outset" w:sz="8" w:space="0" w:color="111111"/>
            </w:tcBorders>
            <w:tcMar>
              <w:top w:w="15" w:type="dxa"/>
              <w:left w:w="15" w:type="dxa"/>
              <w:bottom w:w="15" w:type="dxa"/>
              <w:right w:w="15" w:type="dxa"/>
            </w:tcMar>
            <w:vAlign w:val="center"/>
            <w:hideMark/>
          </w:tcPr>
          <w:p w:rsidR="00674FBB" w:rsidRDefault="00674FBB">
            <w:pPr>
              <w:pStyle w:val="NormalWeb"/>
              <w:jc w:val="center"/>
              <w:rPr>
                <w:rFonts w:eastAsiaTheme="minorEastAsia"/>
              </w:rPr>
            </w:pPr>
            <w:r>
              <w:t> </w:t>
            </w:r>
          </w:p>
        </w:tc>
      </w:tr>
    </w:tbl>
    <w:p w:rsidR="00674FBB" w:rsidRDefault="00674FBB">
      <w:pPr>
        <w:pStyle w:val="NormalWeb"/>
        <w:divId w:val="1293638768"/>
        <w:rPr>
          <w:rFonts w:eastAsiaTheme="minorEastAsia"/>
        </w:rPr>
      </w:pPr>
      <w:r>
        <w:t> </w:t>
      </w:r>
    </w:p>
    <w:p w:rsidR="00674FBB" w:rsidRDefault="00674FBB">
      <w:pPr>
        <w:pStyle w:val="NormalWeb"/>
        <w:divId w:val="1293638768"/>
      </w:pPr>
      <w:r>
        <w:t xml:space="preserve">V og O stemte imod med den begrundelse, at de ikke ønsker at låse typen af belægning mv. på Pileborggade på nuværende tidspunkt. </w:t>
      </w:r>
    </w:p>
    <w:p w:rsidR="00674FBB" w:rsidRDefault="00674FBB">
      <w:pPr>
        <w:pStyle w:val="NormalWeb"/>
        <w:divId w:val="1293638768"/>
      </w:pPr>
      <w:r>
        <w:t> </w:t>
      </w:r>
    </w:p>
    <w:p w:rsidR="00674FBB" w:rsidRDefault="00674FBB">
      <w:pPr>
        <w:pStyle w:val="NormalWeb"/>
        <w:divId w:val="1293638768"/>
      </w:pPr>
      <w:r>
        <w:rPr>
          <w:i/>
          <w:iCs/>
        </w:rPr>
        <w:t>Ej til stede: Johnny Dahlgaard</w:t>
      </w:r>
    </w:p>
    <w:p w:rsidR="00674FBB" w:rsidRDefault="00674FBB">
      <w:pPr>
        <w:textAlignment w:val="top"/>
        <w:divId w:val="1739863707"/>
        <w:rPr>
          <w:b/>
          <w:bCs/>
        </w:rPr>
      </w:pPr>
      <w:r>
        <w:rPr>
          <w:b/>
          <w:bCs/>
        </w:rPr>
        <w:t>Beslutning i Økonomiudvalget den 07-11-2016</w:t>
      </w:r>
    </w:p>
    <w:p w:rsidR="00674FBB" w:rsidRDefault="00674FBB">
      <w:pPr>
        <w:pStyle w:val="NormalWeb"/>
        <w:divId w:val="1455520530"/>
        <w:rPr>
          <w:rFonts w:eastAsiaTheme="minorEastAsia"/>
        </w:rPr>
      </w:pPr>
      <w:r>
        <w:t>Punkt 1 anbefales godkendt.</w:t>
      </w:r>
    </w:p>
    <w:p w:rsidR="00674FBB" w:rsidRDefault="00674FBB">
      <w:pPr>
        <w:pStyle w:val="NormalWeb"/>
        <w:divId w:val="1455520530"/>
      </w:pPr>
      <w:r>
        <w:t> </w:t>
      </w:r>
    </w:p>
    <w:p w:rsidR="00674FBB" w:rsidRDefault="00674FBB">
      <w:pPr>
        <w:pStyle w:val="NormalWeb"/>
        <w:divId w:val="1455520530"/>
      </w:pPr>
      <w:r>
        <w:t>Punkt 2, 3, 4 anbefales godkendt med bemærkningen om, at detailprojekteringen af Pileborggade afventer indtil videre.</w:t>
      </w:r>
    </w:p>
    <w:p w:rsidR="00674FBB" w:rsidRDefault="00674FBB">
      <w:pPr>
        <w:textAlignment w:val="top"/>
        <w:divId w:val="1739863707"/>
        <w:rPr>
          <w:b/>
          <w:bCs/>
        </w:rPr>
      </w:pPr>
      <w:r>
        <w:rPr>
          <w:b/>
          <w:bCs/>
        </w:rPr>
        <w:t>Beslutning i Byrådet den 14-11-2016</w:t>
      </w:r>
    </w:p>
    <w:p w:rsidR="00674FBB" w:rsidRDefault="00674FBB">
      <w:pPr>
        <w:pStyle w:val="NormalWeb"/>
        <w:divId w:val="174076771"/>
        <w:rPr>
          <w:rFonts w:eastAsiaTheme="minorEastAsia"/>
        </w:rPr>
      </w:pPr>
      <w:r>
        <w:t>Punkt 1 blev godkendt.</w:t>
      </w:r>
    </w:p>
    <w:p w:rsidR="00674FBB" w:rsidRDefault="00674FBB">
      <w:pPr>
        <w:pStyle w:val="NormalWeb"/>
        <w:divId w:val="174076771"/>
      </w:pPr>
      <w:r>
        <w:t> </w:t>
      </w:r>
    </w:p>
    <w:p w:rsidR="00674FBB" w:rsidRDefault="00674FBB">
      <w:pPr>
        <w:pStyle w:val="NormalWeb"/>
        <w:divId w:val="174076771"/>
      </w:pPr>
      <w:r>
        <w:t>Punkt 2, 3 og 4 blev godkendt med Økonomiudvalgets bemærkning og med følgende supplerende forslag fra Benny Christensen: At detailprojekteringen af Pileborggade afventer indtil videre. Dog tages der stilling til endelig detailprojektering, senest i forbindelse med endt kloakering af Pileborggade.</w:t>
      </w:r>
      <w:bookmarkEnd w:id="1"/>
    </w:p>
    <w:p w:rsidR="00252BB9" w:rsidRPr="00CB19E5" w:rsidRDefault="00252BB9" w:rsidP="00355522">
      <w:bookmarkStart w:id="2" w:name="_GoBack"/>
      <w:bookmarkEnd w:id="2"/>
    </w:p>
    <w:sectPr w:rsidR="00252BB9" w:rsidRPr="00CB19E5" w:rsidSect="009503C5">
      <w:headerReference w:type="even" r:id="rId8"/>
      <w:headerReference w:type="default" r:id="rId9"/>
      <w:footerReference w:type="even" r:id="rId10"/>
      <w:footerReference w:type="default" r:id="rId11"/>
      <w:headerReference w:type="first" r:id="rId12"/>
      <w:footerReference w:type="first" r:id="rId13"/>
      <w:pgSz w:w="11906" w:h="16838"/>
      <w:pgMar w:top="1948" w:right="1106"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4FBB" w:rsidRDefault="00674FBB">
      <w:r>
        <w:separator/>
      </w:r>
    </w:p>
  </w:endnote>
  <w:endnote w:type="continuationSeparator" w:id="0">
    <w:p w:rsidR="00674FBB" w:rsidRDefault="00674F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4B5A" w:rsidRDefault="007B4B5A">
    <w:pPr>
      <w:pStyle w:val="Sidefo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339D" w:rsidRPr="00AA339D" w:rsidRDefault="00AA339D" w:rsidP="00AA339D">
    <w:pPr>
      <w:spacing w:after="160"/>
      <w:jc w:val="right"/>
      <w:rPr>
        <w:rFonts w:ascii="Times New Roman" w:hAnsi="Times New Roman"/>
      </w:rPr>
    </w:pPr>
    <w:r w:rsidRPr="00AA339D">
      <w:rPr>
        <w:rFonts w:ascii="Arial" w:hAnsi="Arial"/>
      </w:rPr>
      <w:t xml:space="preserve">Side </w:t>
    </w:r>
    <w:r w:rsidRPr="00AA339D">
      <w:rPr>
        <w:rFonts w:ascii="Times New Roman" w:hAnsi="Times New Roman"/>
      </w:rPr>
      <w:fldChar w:fldCharType="begin"/>
    </w:r>
    <w:r w:rsidRPr="00AA339D">
      <w:rPr>
        <w:rFonts w:ascii="Times New Roman" w:hAnsi="Times New Roman"/>
      </w:rPr>
      <w:instrText xml:space="preserve"> PAGE </w:instrText>
    </w:r>
    <w:r w:rsidRPr="00AA339D">
      <w:rPr>
        <w:rFonts w:ascii="Times New Roman" w:hAnsi="Times New Roman"/>
      </w:rPr>
      <w:fldChar w:fldCharType="separate"/>
    </w:r>
    <w:r w:rsidR="00674FBB">
      <w:rPr>
        <w:rFonts w:ascii="Times New Roman" w:hAnsi="Times New Roman"/>
        <w:noProof/>
      </w:rPr>
      <w:t>7</w:t>
    </w:r>
    <w:r w:rsidRPr="00AA339D">
      <w:rPr>
        <w:rFonts w:ascii="Times New Roman" w:hAnsi="Times New Roman"/>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4B5A" w:rsidRDefault="007B4B5A">
    <w:pPr>
      <w:pStyle w:val="Sidefo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4FBB" w:rsidRDefault="00674FBB">
      <w:r>
        <w:separator/>
      </w:r>
    </w:p>
  </w:footnote>
  <w:footnote w:type="continuationSeparator" w:id="0">
    <w:p w:rsidR="00674FBB" w:rsidRDefault="00674F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4B5A" w:rsidRDefault="007B4B5A">
    <w:pPr>
      <w:pStyle w:val="Sidehoved"/>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4927" w:rsidRDefault="00E97277" w:rsidP="000942FA">
    <w:pPr>
      <w:pStyle w:val="Sidehoved"/>
    </w:pPr>
    <w:r>
      <w:rPr>
        <w:noProof/>
        <w:lang w:eastAsia="da-DK"/>
      </w:rPr>
      <w:drawing>
        <wp:inline distT="0" distB="0" distL="0" distR="0" wp14:anchorId="67E2CE94" wp14:editId="031BE95F">
          <wp:extent cx="694690" cy="982345"/>
          <wp:effectExtent l="0" t="0" r="0" b="8255"/>
          <wp:docPr id="1" name="Billede 1"/>
          <wp:cNvGraphicFramePr/>
          <a:graphic xmlns:a="http://schemas.openxmlformats.org/drawingml/2006/main">
            <a:graphicData uri="http://schemas.openxmlformats.org/drawingml/2006/picture">
              <pic:pic xmlns:pic="http://schemas.openxmlformats.org/drawingml/2006/picture">
                <pic:nvPicPr>
                  <pic:cNvPr id="1" name="Billede 1"/>
                  <pic:cNvPicPr/>
                </pic:nvPicPr>
                <pic:blipFill>
                  <a:blip r:embed="rId1" cstate="print">
                    <a:extLst>
                      <a:ext uri="{28A0092B-C50C-407E-A947-70E740481C1C}">
                        <a14:useLocalDpi xmlns:a14="http://schemas.microsoft.com/office/drawing/2010/main"/>
                      </a:ext>
                    </a:extLst>
                  </a:blip>
                  <a:stretch>
                    <a:fillRect/>
                  </a:stretch>
                </pic:blipFill>
                <pic:spPr>
                  <a:xfrm>
                    <a:off x="0" y="0"/>
                    <a:ext cx="694690" cy="982345"/>
                  </a:xfrm>
                  <a:prstGeom prst="rect">
                    <a:avLst/>
                  </a:prstGeom>
                </pic:spPr>
              </pic:pic>
            </a:graphicData>
          </a:graphic>
        </wp:inline>
      </w:drawing>
    </w:r>
  </w:p>
  <w:p w:rsidR="00314927" w:rsidRPr="000942FA" w:rsidRDefault="00314927" w:rsidP="000942FA">
    <w:pPr>
      <w:pStyle w:val="Sidehoved"/>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4B5A" w:rsidRDefault="007B4B5A">
    <w:pPr>
      <w:pStyle w:val="Sidehove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73A467E"/>
    <w:lvl w:ilvl="0">
      <w:start w:val="1"/>
      <w:numFmt w:val="decimal"/>
      <w:lvlText w:val="%1."/>
      <w:lvlJc w:val="left"/>
      <w:pPr>
        <w:tabs>
          <w:tab w:val="num" w:pos="1492"/>
        </w:tabs>
        <w:ind w:left="1492" w:hanging="360"/>
      </w:pPr>
    </w:lvl>
  </w:abstractNum>
  <w:abstractNum w:abstractNumId="1">
    <w:nsid w:val="FFFFFF7D"/>
    <w:multiLevelType w:val="singleLevel"/>
    <w:tmpl w:val="63B8ECA8"/>
    <w:lvl w:ilvl="0">
      <w:start w:val="1"/>
      <w:numFmt w:val="decimal"/>
      <w:lvlText w:val="%1."/>
      <w:lvlJc w:val="left"/>
      <w:pPr>
        <w:tabs>
          <w:tab w:val="num" w:pos="1209"/>
        </w:tabs>
        <w:ind w:left="1209" w:hanging="360"/>
      </w:pPr>
    </w:lvl>
  </w:abstractNum>
  <w:abstractNum w:abstractNumId="2">
    <w:nsid w:val="FFFFFF7E"/>
    <w:multiLevelType w:val="singleLevel"/>
    <w:tmpl w:val="83D63C58"/>
    <w:lvl w:ilvl="0">
      <w:start w:val="1"/>
      <w:numFmt w:val="decimal"/>
      <w:lvlText w:val="%1."/>
      <w:lvlJc w:val="left"/>
      <w:pPr>
        <w:tabs>
          <w:tab w:val="num" w:pos="926"/>
        </w:tabs>
        <w:ind w:left="926" w:hanging="360"/>
      </w:pPr>
    </w:lvl>
  </w:abstractNum>
  <w:abstractNum w:abstractNumId="3">
    <w:nsid w:val="FFFFFF7F"/>
    <w:multiLevelType w:val="singleLevel"/>
    <w:tmpl w:val="299EF27A"/>
    <w:lvl w:ilvl="0">
      <w:start w:val="1"/>
      <w:numFmt w:val="decimal"/>
      <w:lvlText w:val="%1."/>
      <w:lvlJc w:val="left"/>
      <w:pPr>
        <w:tabs>
          <w:tab w:val="num" w:pos="643"/>
        </w:tabs>
        <w:ind w:left="643" w:hanging="360"/>
      </w:pPr>
    </w:lvl>
  </w:abstractNum>
  <w:abstractNum w:abstractNumId="4">
    <w:nsid w:val="FFFFFF80"/>
    <w:multiLevelType w:val="singleLevel"/>
    <w:tmpl w:val="FEEC493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B2DC3F3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3818816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8707E0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67A7EB8"/>
    <w:lvl w:ilvl="0">
      <w:start w:val="1"/>
      <w:numFmt w:val="decimal"/>
      <w:lvlText w:val="%1."/>
      <w:lvlJc w:val="left"/>
      <w:pPr>
        <w:tabs>
          <w:tab w:val="num" w:pos="360"/>
        </w:tabs>
        <w:ind w:left="360" w:hanging="360"/>
      </w:pPr>
    </w:lvl>
  </w:abstractNum>
  <w:abstractNum w:abstractNumId="9">
    <w:nsid w:val="FFFFFF89"/>
    <w:multiLevelType w:val="singleLevel"/>
    <w:tmpl w:val="DB4A4F68"/>
    <w:lvl w:ilvl="0">
      <w:start w:val="1"/>
      <w:numFmt w:val="bullet"/>
      <w:lvlText w:val=""/>
      <w:lvlJc w:val="left"/>
      <w:pPr>
        <w:tabs>
          <w:tab w:val="num" w:pos="360"/>
        </w:tabs>
        <w:ind w:left="360" w:hanging="360"/>
      </w:pPr>
      <w:rPr>
        <w:rFonts w:ascii="Symbol" w:hAnsi="Symbol" w:hint="default"/>
      </w:rPr>
    </w:lvl>
  </w:abstractNum>
  <w:abstractNum w:abstractNumId="10">
    <w:nsid w:val="080C70E9"/>
    <w:multiLevelType w:val="multilevel"/>
    <w:tmpl w:val="F71C89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7226526"/>
    <w:multiLevelType w:val="multilevel"/>
    <w:tmpl w:val="5E16D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75ED51AD"/>
    <w:multiLevelType w:val="multilevel"/>
    <w:tmpl w:val="4DB23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2"/>
  </w:num>
  <w:num w:numId="12">
    <w:abstractNumId w:val="11"/>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docVars>
    <w:docVar w:name="OfficeInstanceGUID" w:val="{BAEB3C54-9E4A-4EAD-886F-B04F7E846A79}"/>
  </w:docVars>
  <w:rsids>
    <w:rsidRoot w:val="00674FBB"/>
    <w:rsid w:val="000942FA"/>
    <w:rsid w:val="00252BB9"/>
    <w:rsid w:val="0027235F"/>
    <w:rsid w:val="00273FD4"/>
    <w:rsid w:val="00282C42"/>
    <w:rsid w:val="002D48C1"/>
    <w:rsid w:val="00314927"/>
    <w:rsid w:val="00355522"/>
    <w:rsid w:val="003C1F39"/>
    <w:rsid w:val="004128AA"/>
    <w:rsid w:val="00444F9F"/>
    <w:rsid w:val="0048690A"/>
    <w:rsid w:val="00580088"/>
    <w:rsid w:val="00653352"/>
    <w:rsid w:val="00674FBB"/>
    <w:rsid w:val="006842A1"/>
    <w:rsid w:val="006862FF"/>
    <w:rsid w:val="006A132A"/>
    <w:rsid w:val="006C7470"/>
    <w:rsid w:val="006F6425"/>
    <w:rsid w:val="00712540"/>
    <w:rsid w:val="007B4B5A"/>
    <w:rsid w:val="007C0E96"/>
    <w:rsid w:val="0093633F"/>
    <w:rsid w:val="009503C5"/>
    <w:rsid w:val="00965ED3"/>
    <w:rsid w:val="00A13948"/>
    <w:rsid w:val="00AA1036"/>
    <w:rsid w:val="00AA339D"/>
    <w:rsid w:val="00AE0F53"/>
    <w:rsid w:val="00B97B5C"/>
    <w:rsid w:val="00BE7AD1"/>
    <w:rsid w:val="00CB0094"/>
    <w:rsid w:val="00CB19E5"/>
    <w:rsid w:val="00CE4499"/>
    <w:rsid w:val="00E26D6F"/>
    <w:rsid w:val="00E97277"/>
    <w:rsid w:val="00F2312B"/>
    <w:rsid w:val="00F37CFD"/>
    <w:rsid w:val="00F73E57"/>
    <w:rsid w:val="00FC61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page number" w:uiPriority="99"/>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28AA"/>
    <w:rPr>
      <w:rFonts w:ascii="Verdana" w:hAnsi="Verdana"/>
      <w:sz w:val="22"/>
      <w:szCs w:val="24"/>
      <w:lang w:val="da-DK"/>
    </w:rPr>
  </w:style>
  <w:style w:type="paragraph" w:styleId="Overskrift1">
    <w:name w:val="heading 1"/>
    <w:basedOn w:val="Normal"/>
    <w:next w:val="Normal"/>
    <w:link w:val="Overskrift1Tegn"/>
    <w:uiPriority w:val="9"/>
    <w:qFormat/>
    <w:rsid w:val="00712540"/>
    <w:pPr>
      <w:keepNext/>
      <w:spacing w:before="240" w:after="60"/>
      <w:outlineLvl w:val="0"/>
    </w:pPr>
    <w:rPr>
      <w:rFonts w:cs="Arial"/>
      <w:b/>
      <w:bCs/>
      <w:kern w:val="32"/>
      <w:sz w:val="24"/>
      <w:szCs w:val="32"/>
    </w:rPr>
  </w:style>
  <w:style w:type="paragraph" w:styleId="Overskrift2">
    <w:name w:val="heading 2"/>
    <w:basedOn w:val="Normal"/>
    <w:next w:val="Normal"/>
    <w:qFormat/>
    <w:rsid w:val="00965ED3"/>
    <w:pPr>
      <w:keepNext/>
      <w:spacing w:before="240" w:after="60"/>
      <w:outlineLvl w:val="1"/>
    </w:pPr>
    <w:rPr>
      <w:rFonts w:cs="Arial"/>
      <w:b/>
      <w:bCs/>
      <w:iCs/>
      <w:szCs w:val="28"/>
    </w:rPr>
  </w:style>
  <w:style w:type="paragraph" w:styleId="Overskrift3">
    <w:name w:val="heading 3"/>
    <w:basedOn w:val="Normal"/>
    <w:next w:val="Normal"/>
    <w:qFormat/>
    <w:rsid w:val="00965ED3"/>
    <w:pPr>
      <w:keepNext/>
      <w:spacing w:before="240" w:after="60"/>
      <w:outlineLvl w:val="2"/>
    </w:pPr>
    <w:rPr>
      <w:rFonts w:cs="Arial"/>
      <w:bCs/>
      <w:szCs w:val="26"/>
    </w:rPr>
  </w:style>
  <w:style w:type="paragraph" w:styleId="Overskrift4">
    <w:name w:val="heading 4"/>
    <w:basedOn w:val="Normal"/>
    <w:next w:val="Normal"/>
    <w:qFormat/>
    <w:rsid w:val="00BE7AD1"/>
    <w:pPr>
      <w:keepNext/>
      <w:spacing w:before="240" w:after="60"/>
      <w:outlineLvl w:val="3"/>
    </w:pPr>
    <w:rPr>
      <w:b/>
      <w:bCs/>
      <w:sz w:val="24"/>
      <w:szCs w:val="28"/>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paragraph" w:styleId="Sidehoved">
    <w:name w:val="header"/>
    <w:basedOn w:val="Normal"/>
    <w:pPr>
      <w:tabs>
        <w:tab w:val="center" w:pos="4153"/>
        <w:tab w:val="right" w:pos="8306"/>
      </w:tabs>
    </w:pPr>
  </w:style>
  <w:style w:type="paragraph" w:styleId="Sidefod">
    <w:name w:val="footer"/>
    <w:basedOn w:val="Normal"/>
    <w:pPr>
      <w:tabs>
        <w:tab w:val="center" w:pos="4153"/>
        <w:tab w:val="right" w:pos="8306"/>
      </w:tabs>
    </w:pPr>
  </w:style>
  <w:style w:type="paragraph" w:customStyle="1" w:styleId="Afslut">
    <w:name w:val="Afslut"/>
    <w:basedOn w:val="Normal"/>
    <w:pPr>
      <w:spacing w:after="240"/>
    </w:pPr>
    <w:rPr>
      <w:rFonts w:ascii="Arial" w:hAnsi="Arial"/>
      <w:sz w:val="20"/>
      <w:szCs w:val="20"/>
    </w:rPr>
  </w:style>
  <w:style w:type="paragraph" w:customStyle="1" w:styleId="Dagledetekst">
    <w:name w:val="Dagledetekst"/>
    <w:basedOn w:val="Normal"/>
    <w:pPr>
      <w:widowControl w:val="0"/>
    </w:pPr>
    <w:rPr>
      <w:rFonts w:ascii="Arial" w:hAnsi="Arial"/>
      <w:b/>
      <w:sz w:val="24"/>
      <w:szCs w:val="20"/>
    </w:rPr>
  </w:style>
  <w:style w:type="character" w:styleId="Sidetal">
    <w:name w:val="page number"/>
    <w:basedOn w:val="Standardskrifttypeiafsnit"/>
    <w:uiPriority w:val="99"/>
  </w:style>
  <w:style w:type="character" w:styleId="Fremhv">
    <w:name w:val="Emphasis"/>
    <w:basedOn w:val="Standardskrifttypeiafsnit"/>
    <w:qFormat/>
    <w:rsid w:val="004128AA"/>
    <w:rPr>
      <w:rFonts w:ascii="Verdana" w:hAnsi="Verdana"/>
      <w:i/>
      <w:iCs/>
      <w:sz w:val="22"/>
    </w:rPr>
  </w:style>
  <w:style w:type="paragraph" w:styleId="NormalWeb">
    <w:name w:val="Normal (Web)"/>
    <w:basedOn w:val="Normal"/>
    <w:uiPriority w:val="99"/>
    <w:rsid w:val="00CB0094"/>
  </w:style>
  <w:style w:type="paragraph" w:styleId="Normalindrykning">
    <w:name w:val="Normal Indent"/>
    <w:basedOn w:val="Normal"/>
    <w:rsid w:val="00CB0094"/>
    <w:pPr>
      <w:ind w:left="1304"/>
    </w:pPr>
  </w:style>
  <w:style w:type="paragraph" w:customStyle="1" w:styleId="sagsfremstilling">
    <w:name w:val="sagsfremstilling"/>
    <w:basedOn w:val="Normal"/>
    <w:rsid w:val="00355522"/>
  </w:style>
  <w:style w:type="paragraph" w:customStyle="1" w:styleId="acadresmalltext">
    <w:name w:val="acadresmalltext"/>
    <w:basedOn w:val="Normal"/>
    <w:qFormat/>
    <w:rsid w:val="00580088"/>
    <w:rPr>
      <w:rFonts w:ascii="Arial" w:hAnsi="Arial"/>
      <w:sz w:val="16"/>
    </w:rPr>
  </w:style>
  <w:style w:type="paragraph" w:styleId="Markeringsbobletekst">
    <w:name w:val="Balloon Text"/>
    <w:basedOn w:val="Normal"/>
    <w:link w:val="MarkeringsbobletekstTegn"/>
    <w:rsid w:val="00E97277"/>
    <w:rPr>
      <w:rFonts w:ascii="Tahoma" w:hAnsi="Tahoma" w:cs="Tahoma"/>
      <w:sz w:val="16"/>
      <w:szCs w:val="16"/>
    </w:rPr>
  </w:style>
  <w:style w:type="character" w:customStyle="1" w:styleId="MarkeringsbobletekstTegn">
    <w:name w:val="Markeringsbobletekst Tegn"/>
    <w:basedOn w:val="Standardskrifttypeiafsnit"/>
    <w:link w:val="Markeringsbobletekst"/>
    <w:rsid w:val="00E97277"/>
    <w:rPr>
      <w:rFonts w:ascii="Tahoma" w:hAnsi="Tahoma" w:cs="Tahoma"/>
      <w:sz w:val="16"/>
      <w:szCs w:val="16"/>
      <w:lang w:val="da-DK"/>
    </w:rPr>
  </w:style>
  <w:style w:type="character" w:customStyle="1" w:styleId="Overskrift1Tegn">
    <w:name w:val="Overskrift 1 Tegn"/>
    <w:basedOn w:val="Standardskrifttypeiafsnit"/>
    <w:link w:val="Overskrift1"/>
    <w:uiPriority w:val="9"/>
    <w:rsid w:val="00674FBB"/>
    <w:rPr>
      <w:rFonts w:ascii="Verdana" w:hAnsi="Verdana" w:cs="Arial"/>
      <w:b/>
      <w:bCs/>
      <w:kern w:val="32"/>
      <w:sz w:val="24"/>
      <w:szCs w:val="32"/>
      <w:lang w:val="da-DK"/>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a-DK" w:eastAsia="da-DK"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9863707">
      <w:bodyDiv w:val="1"/>
      <w:marLeft w:val="0"/>
      <w:marRight w:val="0"/>
      <w:marTop w:val="0"/>
      <w:marBottom w:val="0"/>
      <w:divBdr>
        <w:top w:val="none" w:sz="0" w:space="0" w:color="auto"/>
        <w:left w:val="none" w:sz="0" w:space="0" w:color="auto"/>
        <w:bottom w:val="none" w:sz="0" w:space="0" w:color="auto"/>
        <w:right w:val="none" w:sz="0" w:space="0" w:color="auto"/>
      </w:divBdr>
      <w:divsChild>
        <w:div w:id="805318309">
          <w:marLeft w:val="0"/>
          <w:marRight w:val="0"/>
          <w:marTop w:val="0"/>
          <w:marBottom w:val="0"/>
          <w:divBdr>
            <w:top w:val="none" w:sz="0" w:space="0" w:color="auto"/>
            <w:left w:val="none" w:sz="0" w:space="0" w:color="auto"/>
            <w:bottom w:val="none" w:sz="0" w:space="0" w:color="auto"/>
            <w:right w:val="none" w:sz="0" w:space="0" w:color="auto"/>
          </w:divBdr>
        </w:div>
        <w:div w:id="939601735">
          <w:marLeft w:val="0"/>
          <w:marRight w:val="0"/>
          <w:marTop w:val="0"/>
          <w:marBottom w:val="0"/>
          <w:divBdr>
            <w:top w:val="none" w:sz="0" w:space="0" w:color="auto"/>
            <w:left w:val="none" w:sz="0" w:space="0" w:color="auto"/>
            <w:bottom w:val="none" w:sz="0" w:space="0" w:color="auto"/>
            <w:right w:val="none" w:sz="0" w:space="0" w:color="auto"/>
          </w:divBdr>
        </w:div>
        <w:div w:id="1340962242">
          <w:marLeft w:val="0"/>
          <w:marRight w:val="0"/>
          <w:marTop w:val="0"/>
          <w:marBottom w:val="0"/>
          <w:divBdr>
            <w:top w:val="none" w:sz="0" w:space="0" w:color="auto"/>
            <w:left w:val="none" w:sz="0" w:space="0" w:color="auto"/>
            <w:bottom w:val="none" w:sz="0" w:space="0" w:color="auto"/>
            <w:right w:val="none" w:sz="0" w:space="0" w:color="auto"/>
          </w:divBdr>
        </w:div>
        <w:div w:id="1441797378">
          <w:marLeft w:val="0"/>
          <w:marRight w:val="0"/>
          <w:marTop w:val="0"/>
          <w:marBottom w:val="0"/>
          <w:divBdr>
            <w:top w:val="none" w:sz="0" w:space="0" w:color="auto"/>
            <w:left w:val="none" w:sz="0" w:space="0" w:color="auto"/>
            <w:bottom w:val="none" w:sz="0" w:space="0" w:color="auto"/>
            <w:right w:val="none" w:sz="0" w:space="0" w:color="auto"/>
          </w:divBdr>
        </w:div>
        <w:div w:id="191040870">
          <w:marLeft w:val="0"/>
          <w:marRight w:val="0"/>
          <w:marTop w:val="0"/>
          <w:marBottom w:val="0"/>
          <w:divBdr>
            <w:top w:val="none" w:sz="0" w:space="0" w:color="auto"/>
            <w:left w:val="none" w:sz="0" w:space="0" w:color="auto"/>
            <w:bottom w:val="none" w:sz="0" w:space="0" w:color="auto"/>
            <w:right w:val="none" w:sz="0" w:space="0" w:color="auto"/>
          </w:divBdr>
        </w:div>
        <w:div w:id="921377872">
          <w:marLeft w:val="0"/>
          <w:marRight w:val="0"/>
          <w:marTop w:val="0"/>
          <w:marBottom w:val="0"/>
          <w:divBdr>
            <w:top w:val="none" w:sz="0" w:space="0" w:color="auto"/>
            <w:left w:val="none" w:sz="0" w:space="0" w:color="auto"/>
            <w:bottom w:val="none" w:sz="0" w:space="0" w:color="auto"/>
            <w:right w:val="none" w:sz="0" w:space="0" w:color="auto"/>
          </w:divBdr>
        </w:div>
        <w:div w:id="1529025069">
          <w:marLeft w:val="0"/>
          <w:marRight w:val="0"/>
          <w:marTop w:val="0"/>
          <w:marBottom w:val="0"/>
          <w:divBdr>
            <w:top w:val="none" w:sz="0" w:space="0" w:color="auto"/>
            <w:left w:val="none" w:sz="0" w:space="0" w:color="auto"/>
            <w:bottom w:val="none" w:sz="0" w:space="0" w:color="auto"/>
            <w:right w:val="none" w:sz="0" w:space="0" w:color="auto"/>
          </w:divBdr>
          <w:divsChild>
            <w:div w:id="1293638768">
              <w:marLeft w:val="0"/>
              <w:marRight w:val="0"/>
              <w:marTop w:val="0"/>
              <w:marBottom w:val="0"/>
              <w:divBdr>
                <w:top w:val="none" w:sz="0" w:space="0" w:color="auto"/>
                <w:left w:val="none" w:sz="0" w:space="0" w:color="auto"/>
                <w:bottom w:val="none" w:sz="0" w:space="0" w:color="auto"/>
                <w:right w:val="none" w:sz="0" w:space="0" w:color="auto"/>
              </w:divBdr>
            </w:div>
          </w:divsChild>
        </w:div>
        <w:div w:id="1455520530">
          <w:marLeft w:val="0"/>
          <w:marRight w:val="0"/>
          <w:marTop w:val="0"/>
          <w:marBottom w:val="0"/>
          <w:divBdr>
            <w:top w:val="none" w:sz="0" w:space="0" w:color="auto"/>
            <w:left w:val="none" w:sz="0" w:space="0" w:color="auto"/>
            <w:bottom w:val="none" w:sz="0" w:space="0" w:color="auto"/>
            <w:right w:val="none" w:sz="0" w:space="0" w:color="auto"/>
          </w:divBdr>
        </w:div>
        <w:div w:id="1740767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rkacadredok01\AcadreShare_Prod\AcadreMMTemplates\MM_RingstedStandard\Item.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Item.dotx</Template>
  <TotalTime>0</TotalTime>
  <Pages>7</Pages>
  <Words>1840</Words>
  <Characters>11225</Characters>
  <Application>Microsoft Office Word</Application>
  <DocSecurity>0</DocSecurity>
  <Lines>93</Lines>
  <Paragraphs>26</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Traen Informationssystemer A/S</Company>
  <LinksUpToDate>false</LinksUpToDate>
  <CharactersWithSpaces>13039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Laila Nyholm Mortensen</dc:creator>
  <cp:lastModifiedBy>Laila Nyholm Mortensen</cp:lastModifiedBy>
  <cp:revision>1</cp:revision>
  <dcterms:created xsi:type="dcterms:W3CDTF">2016-11-15T08:52:00Z</dcterms:created>
  <dcterms:modified xsi:type="dcterms:W3CDTF">2016-11-15T08:52:00Z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fficeInstanceGUID">
    <vt:lpwstr>{FE9898B9-8776-412E-BDC1-607E897A80EF}</vt:lpwstr>
  </property>
</Properties>
</file>